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6A74C056" w:rsidR="00FA521F" w:rsidRPr="00280956" w:rsidRDefault="00FA521F" w:rsidP="00FD3AAE">
      <w:pPr>
        <w:tabs>
          <w:tab w:val="left" w:pos="1985"/>
        </w:tabs>
        <w:spacing w:after="0"/>
        <w:ind w:left="281" w:hangingChars="100" w:hanging="281"/>
        <w:rPr>
          <w:rFonts w:ascii="Arial" w:eastAsiaTheme="minorEastAsia" w:hAnsi="Arial" w:cs="Arial"/>
          <w:b/>
          <w:bCs/>
          <w:sz w:val="28"/>
          <w:lang w:eastAsia="ko-KR"/>
        </w:rPr>
      </w:pPr>
      <w:bookmarkStart w:id="0" w:name="_GoBack"/>
      <w:bookmarkEnd w:id="0"/>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Meeting</w:t>
      </w:r>
      <w:r w:rsidR="0063696E">
        <w:rPr>
          <w:rFonts w:ascii="Arial" w:hAnsi="Arial" w:cs="Arial"/>
          <w:b/>
          <w:bCs/>
          <w:sz w:val="28"/>
        </w:rPr>
        <w:t xml:space="preserve"> #</w:t>
      </w:r>
      <w:r w:rsidR="00BE726D">
        <w:rPr>
          <w:rFonts w:ascii="Arial" w:hAnsi="Arial" w:cs="Arial"/>
          <w:b/>
          <w:bCs/>
          <w:sz w:val="28"/>
        </w:rPr>
        <w:t>93</w:t>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000D6C45">
        <w:rPr>
          <w:rFonts w:ascii="Arial" w:eastAsia="맑은 고딕" w:hAnsi="Arial" w:cs="Arial"/>
          <w:b/>
          <w:bCs/>
          <w:sz w:val="28"/>
          <w:lang w:eastAsia="ko-KR"/>
        </w:rPr>
        <w:tab/>
      </w:r>
      <w:r w:rsidR="000D6C45">
        <w:rPr>
          <w:rFonts w:ascii="Arial" w:eastAsia="맑은 고딕" w:hAnsi="Arial" w:cs="Arial"/>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0002542F">
        <w:rPr>
          <w:rFonts w:ascii="Arial" w:eastAsia="맑은 고딕" w:hAnsi="Arial" w:cs="Arial"/>
          <w:b/>
          <w:bCs/>
          <w:sz w:val="28"/>
          <w:lang w:eastAsia="ko-KR"/>
        </w:rPr>
        <w:tab/>
      </w:r>
      <w:r w:rsidRPr="00506024">
        <w:rPr>
          <w:rFonts w:ascii="Arial" w:hAnsi="Arial" w:cs="Arial"/>
          <w:b/>
          <w:bCs/>
          <w:sz w:val="28"/>
        </w:rPr>
        <w:t>R1-</w:t>
      </w:r>
      <w:r w:rsidR="000D6C45" w:rsidRPr="00506024">
        <w:rPr>
          <w:rFonts w:ascii="Arial" w:hAnsi="Arial" w:cs="Arial"/>
          <w:b/>
          <w:bCs/>
          <w:sz w:val="28"/>
        </w:rPr>
        <w:t>1</w:t>
      </w:r>
      <w:r w:rsidR="000D6C45">
        <w:rPr>
          <w:rFonts w:ascii="Arial" w:hAnsi="Arial" w:cs="Arial"/>
          <w:b/>
          <w:bCs/>
          <w:sz w:val="28"/>
        </w:rPr>
        <w:t>8</w:t>
      </w:r>
      <w:r w:rsidR="00A13EAC">
        <w:rPr>
          <w:rFonts w:ascii="Arial" w:hAnsi="Arial" w:cs="Arial"/>
          <w:b/>
          <w:bCs/>
          <w:sz w:val="28"/>
        </w:rPr>
        <w:t>06650</w:t>
      </w:r>
    </w:p>
    <w:p w14:paraId="7F6B51BC" w14:textId="1502A3EF" w:rsidR="00FA521F" w:rsidRDefault="00BE726D" w:rsidP="00FA521F">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14:paraId="6E4462CD" w14:textId="0324E5B3"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53579B">
        <w:rPr>
          <w:rFonts w:ascii="Arial" w:eastAsia="맑은 고딕" w:hAnsi="Arial"/>
          <w:sz w:val="24"/>
          <w:lang w:val="en-US" w:eastAsia="ko-KR"/>
        </w:rPr>
        <w:t>7.2</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1D25DA39"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252293">
        <w:rPr>
          <w:rFonts w:ascii="Arial" w:eastAsiaTheme="minorEastAsia" w:hAnsi="Arial" w:hint="eastAsia"/>
          <w:sz w:val="24"/>
          <w:lang w:val="en-US" w:eastAsia="ko-KR"/>
        </w:rPr>
        <w:t>Discussions on evaluation methodology on NR IAB</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78683F9C" w:rsidR="0053579B" w:rsidRPr="004D34D5" w:rsidRDefault="00C1458F" w:rsidP="0053579B">
      <w:pPr>
        <w:spacing w:before="120" w:after="120" w:line="240" w:lineRule="auto"/>
        <w:ind w:left="0" w:firstLine="0"/>
        <w:rPr>
          <w:lang w:val="en-US" w:eastAsia="ko-KR"/>
        </w:rPr>
      </w:pPr>
      <w:r w:rsidRPr="004D34D5">
        <w:rPr>
          <w:rFonts w:eastAsia="바탕"/>
          <w:lang w:val="en-US" w:eastAsia="ko-KR"/>
        </w:rPr>
        <w:t xml:space="preserve">In </w:t>
      </w:r>
      <w:r w:rsidR="00A03820" w:rsidRPr="004D34D5">
        <w:rPr>
          <w:rFonts w:eastAsia="바탕"/>
          <w:lang w:val="en-US" w:eastAsia="ko-KR"/>
        </w:rPr>
        <w:t>RAN1</w:t>
      </w:r>
      <w:r w:rsidR="00745217" w:rsidRPr="004D34D5">
        <w:rPr>
          <w:rFonts w:eastAsia="바탕"/>
          <w:lang w:val="en-US" w:eastAsia="ko-KR"/>
        </w:rPr>
        <w:t>#</w:t>
      </w:r>
      <w:r w:rsidR="0053579B" w:rsidRPr="004D34D5">
        <w:rPr>
          <w:rFonts w:eastAsia="바탕"/>
          <w:lang w:val="en-US" w:eastAsia="ko-KR"/>
        </w:rPr>
        <w:t>93</w:t>
      </w:r>
      <w:r w:rsidRPr="004D34D5">
        <w:rPr>
          <w:rFonts w:eastAsia="바탕"/>
          <w:lang w:val="en-US" w:eastAsia="ko-KR"/>
        </w:rPr>
        <w:t xml:space="preserve">, </w:t>
      </w:r>
      <w:r w:rsidR="0053579B" w:rsidRPr="004D34D5">
        <w:rPr>
          <w:rFonts w:eastAsia="바탕"/>
          <w:lang w:val="en-US" w:eastAsia="ko-KR"/>
        </w:rPr>
        <w:t xml:space="preserve">the </w:t>
      </w:r>
      <w:r w:rsidR="00DF3E4F" w:rsidRPr="004D34D5">
        <w:rPr>
          <w:lang w:val="en-US" w:eastAsia="ko-KR"/>
        </w:rPr>
        <w:t>following agreeme</w:t>
      </w:r>
      <w:r w:rsidR="007F2165" w:rsidRPr="004D34D5">
        <w:rPr>
          <w:lang w:val="en-US" w:eastAsia="ko-KR"/>
        </w:rPr>
        <w:t>nts were made</w:t>
      </w:r>
      <w:r w:rsidR="00F82BB4" w:rsidRPr="004D34D5">
        <w:rPr>
          <w:lang w:val="en-US" w:eastAsia="ko-KR"/>
        </w:rPr>
        <w:t xml:space="preserve"> </w:t>
      </w:r>
      <w:r w:rsidR="00033794" w:rsidRPr="004D34D5">
        <w:rPr>
          <w:lang w:val="en-US" w:eastAsia="ko-KR"/>
        </w:rPr>
        <w:t xml:space="preserve">for </w:t>
      </w:r>
      <w:r w:rsidR="0053579B" w:rsidRPr="004D34D5">
        <w:rPr>
          <w:lang w:val="en-US" w:eastAsia="ko-KR"/>
        </w:rPr>
        <w:t>the IAB evaluation assumptions</w:t>
      </w:r>
      <w:r w:rsidR="007F2165" w:rsidRPr="004D34D5">
        <w:rPr>
          <w:lang w:val="en-US" w:eastAsia="ko-KR"/>
        </w:rPr>
        <w:t>:</w:t>
      </w:r>
    </w:p>
    <w:p w14:paraId="03FF7E0E" w14:textId="77777777" w:rsidR="0053579B" w:rsidRDefault="0053579B" w:rsidP="0053579B">
      <w:pPr>
        <w:ind w:left="0" w:firstLine="0"/>
        <w:rPr>
          <w:lang w:eastAsia="x-none"/>
        </w:rPr>
      </w:pPr>
      <w:r w:rsidRPr="0010402B">
        <w:rPr>
          <w:highlight w:val="green"/>
          <w:lang w:eastAsia="x-none"/>
        </w:rPr>
        <w:t>Agreements</w:t>
      </w:r>
      <w:r>
        <w:rPr>
          <w:lang w:eastAsia="x-none"/>
        </w:rPr>
        <w:t>:</w:t>
      </w:r>
    </w:p>
    <w:p w14:paraId="7B939E19" w14:textId="77777777" w:rsidR="0053579B" w:rsidRPr="00346542" w:rsidRDefault="0053579B" w:rsidP="00AD5792">
      <w:pPr>
        <w:pStyle w:val="maintext"/>
        <w:numPr>
          <w:ilvl w:val="0"/>
          <w:numId w:val="8"/>
        </w:numPr>
        <w:ind w:firstLineChars="0"/>
        <w:rPr>
          <w:rFonts w:ascii="Calibri" w:hAnsi="Calibri"/>
          <w:lang w:val="en-US"/>
        </w:rPr>
      </w:pPr>
      <w:r w:rsidRPr="00346542">
        <w:rPr>
          <w:rFonts w:ascii="Calibri" w:hAnsi="Calibri"/>
          <w:lang w:val="en-US"/>
        </w:rPr>
        <w:t>The following two scenarios should be considered for evaluations of IAB:</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4038"/>
        <w:gridCol w:w="3679"/>
      </w:tblGrid>
      <w:tr w:rsidR="0053579B" w:rsidRPr="00CA5486" w14:paraId="7A887515" w14:textId="77777777" w:rsidTr="00D17DFE">
        <w:trPr>
          <w:trHeight w:val="480"/>
        </w:trPr>
        <w:tc>
          <w:tcPr>
            <w:tcW w:w="2579" w:type="dxa"/>
            <w:shd w:val="clear" w:color="auto" w:fill="auto"/>
            <w:hideMark/>
          </w:tcPr>
          <w:p w14:paraId="69251C11"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 </w:t>
            </w:r>
          </w:p>
        </w:tc>
        <w:tc>
          <w:tcPr>
            <w:tcW w:w="4038" w:type="dxa"/>
            <w:shd w:val="clear" w:color="auto" w:fill="auto"/>
            <w:hideMark/>
          </w:tcPr>
          <w:p w14:paraId="4FB2A319"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Homogeneous IAB Scenario</w:t>
            </w:r>
          </w:p>
        </w:tc>
        <w:tc>
          <w:tcPr>
            <w:tcW w:w="3679" w:type="dxa"/>
            <w:shd w:val="clear" w:color="auto" w:fill="auto"/>
          </w:tcPr>
          <w:p w14:paraId="1327D7A4"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Heterogeneous IAB Scenario</w:t>
            </w:r>
          </w:p>
        </w:tc>
      </w:tr>
      <w:tr w:rsidR="0053579B" w:rsidRPr="00CA5486" w14:paraId="3575ADDA" w14:textId="77777777" w:rsidTr="00D17DFE">
        <w:trPr>
          <w:trHeight w:val="665"/>
        </w:trPr>
        <w:tc>
          <w:tcPr>
            <w:tcW w:w="2579" w:type="dxa"/>
            <w:shd w:val="clear" w:color="auto" w:fill="auto"/>
            <w:hideMark/>
          </w:tcPr>
          <w:p w14:paraId="6000A3E8"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Node deployment</w:t>
            </w:r>
          </w:p>
        </w:tc>
        <w:tc>
          <w:tcPr>
            <w:tcW w:w="4038" w:type="dxa"/>
            <w:shd w:val="clear" w:color="auto" w:fill="auto"/>
            <w:hideMark/>
          </w:tcPr>
          <w:p w14:paraId="139CF019"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All nodes (IAB donor and IAB node) are dropped on a hexagonal grid</w:t>
            </w:r>
          </w:p>
        </w:tc>
        <w:tc>
          <w:tcPr>
            <w:tcW w:w="3679" w:type="dxa"/>
            <w:shd w:val="clear" w:color="auto" w:fill="auto"/>
          </w:tcPr>
          <w:p w14:paraId="06B3A961"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Only IAB donor are dropped on a hexagonal grid and IAB node are dropped randomly</w:t>
            </w:r>
          </w:p>
        </w:tc>
      </w:tr>
      <w:tr w:rsidR="0053579B" w:rsidRPr="00CA5486" w14:paraId="05991FC1" w14:textId="77777777" w:rsidTr="00D17DFE">
        <w:trPr>
          <w:trHeight w:val="480"/>
        </w:trPr>
        <w:tc>
          <w:tcPr>
            <w:tcW w:w="2579" w:type="dxa"/>
            <w:shd w:val="clear" w:color="auto" w:fill="auto"/>
            <w:hideMark/>
          </w:tcPr>
          <w:p w14:paraId="7E9B6633"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IAB donor</w:t>
            </w:r>
          </w:p>
        </w:tc>
        <w:tc>
          <w:tcPr>
            <w:tcW w:w="4038" w:type="dxa"/>
            <w:shd w:val="clear" w:color="auto" w:fill="auto"/>
            <w:hideMark/>
          </w:tcPr>
          <w:p w14:paraId="2AACA2D9"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Micro</w:t>
            </w:r>
          </w:p>
        </w:tc>
        <w:tc>
          <w:tcPr>
            <w:tcW w:w="3679" w:type="dxa"/>
            <w:shd w:val="clear" w:color="auto" w:fill="auto"/>
          </w:tcPr>
          <w:p w14:paraId="3BF01D19"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Macro</w:t>
            </w:r>
          </w:p>
        </w:tc>
      </w:tr>
      <w:tr w:rsidR="0053579B" w:rsidRPr="00CA5486" w14:paraId="62468EAB" w14:textId="77777777" w:rsidTr="00D17DFE">
        <w:trPr>
          <w:trHeight w:val="480"/>
        </w:trPr>
        <w:tc>
          <w:tcPr>
            <w:tcW w:w="2579" w:type="dxa"/>
            <w:shd w:val="clear" w:color="auto" w:fill="auto"/>
            <w:hideMark/>
          </w:tcPr>
          <w:p w14:paraId="5E63D028"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IAB node</w:t>
            </w:r>
          </w:p>
        </w:tc>
        <w:tc>
          <w:tcPr>
            <w:tcW w:w="4038" w:type="dxa"/>
            <w:shd w:val="clear" w:color="auto" w:fill="auto"/>
            <w:hideMark/>
          </w:tcPr>
          <w:p w14:paraId="36356C58"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Micro</w:t>
            </w:r>
          </w:p>
        </w:tc>
        <w:tc>
          <w:tcPr>
            <w:tcW w:w="3679" w:type="dxa"/>
            <w:shd w:val="clear" w:color="auto" w:fill="auto"/>
          </w:tcPr>
          <w:p w14:paraId="3A8A2F54"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Micro</w:t>
            </w:r>
          </w:p>
        </w:tc>
      </w:tr>
      <w:tr w:rsidR="0053579B" w:rsidRPr="00CA5486" w14:paraId="447E31B6" w14:textId="77777777" w:rsidTr="00D17DFE">
        <w:trPr>
          <w:trHeight w:val="1200"/>
        </w:trPr>
        <w:tc>
          <w:tcPr>
            <w:tcW w:w="2579" w:type="dxa"/>
            <w:shd w:val="clear" w:color="auto" w:fill="auto"/>
            <w:hideMark/>
          </w:tcPr>
          <w:p w14:paraId="47DC1834"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Number of IAB donor</w:t>
            </w:r>
          </w:p>
        </w:tc>
        <w:tc>
          <w:tcPr>
            <w:tcW w:w="4038" w:type="dxa"/>
            <w:shd w:val="clear" w:color="auto" w:fill="auto"/>
            <w:hideMark/>
          </w:tcPr>
          <w:p w14:paraId="619953D0"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Ndonor: [1, 3, 7]</w:t>
            </w:r>
          </w:p>
        </w:tc>
        <w:tc>
          <w:tcPr>
            <w:tcW w:w="3679" w:type="dxa"/>
            <w:shd w:val="clear" w:color="auto" w:fill="auto"/>
          </w:tcPr>
          <w:p w14:paraId="523132FF"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Ndonor = 7</w:t>
            </w:r>
          </w:p>
        </w:tc>
      </w:tr>
      <w:tr w:rsidR="0053579B" w:rsidRPr="00CA5486" w14:paraId="49A6B434" w14:textId="77777777" w:rsidTr="00D17DFE">
        <w:trPr>
          <w:trHeight w:val="480"/>
        </w:trPr>
        <w:tc>
          <w:tcPr>
            <w:tcW w:w="2579" w:type="dxa"/>
            <w:shd w:val="clear" w:color="auto" w:fill="auto"/>
            <w:hideMark/>
          </w:tcPr>
          <w:p w14:paraId="3845DB20"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Number of IAB node</w:t>
            </w:r>
          </w:p>
        </w:tc>
        <w:tc>
          <w:tcPr>
            <w:tcW w:w="4038" w:type="dxa"/>
            <w:shd w:val="clear" w:color="auto" w:fill="auto"/>
            <w:hideMark/>
          </w:tcPr>
          <w:p w14:paraId="6AF42374"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19 - Ndonor</w:t>
            </w:r>
          </w:p>
        </w:tc>
        <w:tc>
          <w:tcPr>
            <w:tcW w:w="3679" w:type="dxa"/>
            <w:shd w:val="clear" w:color="auto" w:fill="auto"/>
          </w:tcPr>
          <w:p w14:paraId="33010843"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Nrelay selected from the following set of values: [1,3]*Ndonor*3</w:t>
            </w:r>
          </w:p>
        </w:tc>
      </w:tr>
      <w:tr w:rsidR="0053579B" w:rsidRPr="00CA5486" w14:paraId="015A4C2E" w14:textId="77777777" w:rsidTr="00D17DFE">
        <w:trPr>
          <w:trHeight w:val="480"/>
        </w:trPr>
        <w:tc>
          <w:tcPr>
            <w:tcW w:w="2579" w:type="dxa"/>
            <w:shd w:val="clear" w:color="auto" w:fill="auto"/>
            <w:hideMark/>
          </w:tcPr>
          <w:p w14:paraId="1B5BFBC5"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Total number of Nodes</w:t>
            </w:r>
          </w:p>
        </w:tc>
        <w:tc>
          <w:tcPr>
            <w:tcW w:w="4038" w:type="dxa"/>
            <w:shd w:val="clear" w:color="auto" w:fill="auto"/>
            <w:hideMark/>
          </w:tcPr>
          <w:p w14:paraId="32D675FB"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19</w:t>
            </w:r>
          </w:p>
        </w:tc>
        <w:tc>
          <w:tcPr>
            <w:tcW w:w="3679" w:type="dxa"/>
            <w:shd w:val="clear" w:color="auto" w:fill="auto"/>
          </w:tcPr>
          <w:p w14:paraId="6878E79C"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Ndonor + Nrelay</w:t>
            </w:r>
          </w:p>
        </w:tc>
      </w:tr>
      <w:tr w:rsidR="0053579B" w:rsidRPr="00CA5486" w14:paraId="17CFE615" w14:textId="77777777" w:rsidTr="00D17DFE">
        <w:trPr>
          <w:trHeight w:val="480"/>
        </w:trPr>
        <w:tc>
          <w:tcPr>
            <w:tcW w:w="2579" w:type="dxa"/>
            <w:shd w:val="clear" w:color="auto" w:fill="auto"/>
            <w:hideMark/>
          </w:tcPr>
          <w:p w14:paraId="00292189"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Reference Network</w:t>
            </w:r>
          </w:p>
        </w:tc>
        <w:tc>
          <w:tcPr>
            <w:tcW w:w="4038" w:type="dxa"/>
            <w:shd w:val="clear" w:color="auto" w:fill="auto"/>
            <w:hideMark/>
          </w:tcPr>
          <w:p w14:paraId="44F82750"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Ndonor donor nodes with 0 relay node</w:t>
            </w:r>
          </w:p>
        </w:tc>
        <w:tc>
          <w:tcPr>
            <w:tcW w:w="3679" w:type="dxa"/>
            <w:shd w:val="clear" w:color="auto" w:fill="auto"/>
          </w:tcPr>
          <w:p w14:paraId="7F090348"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7 donor nodes</w:t>
            </w:r>
          </w:p>
        </w:tc>
      </w:tr>
      <w:tr w:rsidR="0053579B" w:rsidRPr="00CA5486" w14:paraId="5664EF75" w14:textId="77777777" w:rsidTr="00D17DFE">
        <w:trPr>
          <w:trHeight w:val="480"/>
        </w:trPr>
        <w:tc>
          <w:tcPr>
            <w:tcW w:w="2579" w:type="dxa"/>
            <w:shd w:val="clear" w:color="auto" w:fill="auto"/>
            <w:hideMark/>
          </w:tcPr>
          <w:p w14:paraId="1DBA7019"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Macro ISD</w:t>
            </w:r>
          </w:p>
        </w:tc>
        <w:tc>
          <w:tcPr>
            <w:tcW w:w="4038" w:type="dxa"/>
            <w:shd w:val="clear" w:color="auto" w:fill="auto"/>
            <w:hideMark/>
          </w:tcPr>
          <w:p w14:paraId="146B38F7"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200m</w:t>
            </w:r>
          </w:p>
        </w:tc>
        <w:tc>
          <w:tcPr>
            <w:tcW w:w="3679" w:type="dxa"/>
            <w:shd w:val="clear" w:color="auto" w:fill="auto"/>
          </w:tcPr>
          <w:p w14:paraId="707512F3"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2 values: 500m and [FFS]</w:t>
            </w:r>
          </w:p>
        </w:tc>
      </w:tr>
      <w:tr w:rsidR="0053579B" w:rsidRPr="006D7AA9" w14:paraId="5FEAC622" w14:textId="77777777" w:rsidTr="00D17DFE">
        <w:trPr>
          <w:trHeight w:val="480"/>
        </w:trPr>
        <w:tc>
          <w:tcPr>
            <w:tcW w:w="2579" w:type="dxa"/>
            <w:shd w:val="clear" w:color="auto" w:fill="auto"/>
          </w:tcPr>
          <w:p w14:paraId="79434D04"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Frequency and Bandwidth (total spectrum access + backhaul)</w:t>
            </w:r>
          </w:p>
        </w:tc>
        <w:tc>
          <w:tcPr>
            <w:tcW w:w="4038" w:type="dxa"/>
            <w:shd w:val="clear" w:color="auto" w:fill="auto"/>
          </w:tcPr>
          <w:p w14:paraId="25EE99C7"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FR1: 4GHz (100MHz), FR2: 30GHz (400MHz)</w:t>
            </w:r>
          </w:p>
        </w:tc>
        <w:tc>
          <w:tcPr>
            <w:tcW w:w="3679" w:type="dxa"/>
            <w:shd w:val="clear" w:color="auto" w:fill="auto"/>
          </w:tcPr>
          <w:p w14:paraId="4D8E1C91"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FR1: 4GHz (100MHz), FR2: 30GHz (400MHz)</w:t>
            </w:r>
          </w:p>
        </w:tc>
      </w:tr>
      <w:tr w:rsidR="0053579B" w:rsidRPr="006D7AA9" w14:paraId="060FAF38" w14:textId="77777777" w:rsidTr="00D17DFE">
        <w:trPr>
          <w:trHeight w:val="480"/>
        </w:trPr>
        <w:tc>
          <w:tcPr>
            <w:tcW w:w="2579" w:type="dxa"/>
            <w:shd w:val="clear" w:color="auto" w:fill="auto"/>
          </w:tcPr>
          <w:p w14:paraId="4CBFEFED"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Duplex mode</w:t>
            </w:r>
          </w:p>
        </w:tc>
        <w:tc>
          <w:tcPr>
            <w:tcW w:w="4038" w:type="dxa"/>
            <w:shd w:val="clear" w:color="auto" w:fill="auto"/>
          </w:tcPr>
          <w:p w14:paraId="7A642E50" w14:textId="77777777" w:rsidR="0053579B" w:rsidRPr="00821FED" w:rsidRDefault="0053579B" w:rsidP="00821FED">
            <w:pPr>
              <w:overflowPunct w:val="0"/>
              <w:ind w:left="0" w:firstLine="0"/>
              <w:rPr>
                <w:rFonts w:ascii="Calibri" w:eastAsia="Calibri" w:hAnsi="Calibri"/>
              </w:rPr>
            </w:pPr>
            <w:r w:rsidRPr="00821FED">
              <w:rPr>
                <w:rFonts w:ascii="Calibri" w:eastAsia="Calibri" w:hAnsi="Calibri"/>
              </w:rPr>
              <w:t>TDD</w:t>
            </w:r>
          </w:p>
        </w:tc>
        <w:tc>
          <w:tcPr>
            <w:tcW w:w="3679" w:type="dxa"/>
            <w:shd w:val="clear" w:color="auto" w:fill="auto"/>
          </w:tcPr>
          <w:p w14:paraId="70519D62" w14:textId="77777777" w:rsidR="0053579B" w:rsidRPr="00821FED" w:rsidRDefault="0053579B" w:rsidP="00821FED">
            <w:pPr>
              <w:pStyle w:val="af6"/>
              <w:overflowPunct w:val="0"/>
              <w:spacing w:before="0" w:beforeAutospacing="0" w:after="120" w:afterAutospacing="0"/>
              <w:ind w:left="0" w:firstLine="0"/>
              <w:jc w:val="both"/>
              <w:rPr>
                <w:rFonts w:ascii="Calibri" w:eastAsia="Calibri" w:hAnsi="Calibri"/>
                <w:color w:val="auto"/>
                <w:sz w:val="20"/>
                <w:szCs w:val="20"/>
              </w:rPr>
            </w:pPr>
            <w:r w:rsidRPr="00821FED">
              <w:rPr>
                <w:rFonts w:ascii="Calibri" w:eastAsia="Calibri" w:hAnsi="Calibri"/>
                <w:color w:val="auto"/>
                <w:sz w:val="20"/>
                <w:szCs w:val="20"/>
              </w:rPr>
              <w:t>TDD</w:t>
            </w:r>
          </w:p>
        </w:tc>
      </w:tr>
    </w:tbl>
    <w:p w14:paraId="22C19923" w14:textId="77777777" w:rsidR="0053579B" w:rsidRPr="00346542" w:rsidRDefault="0053579B" w:rsidP="00AD5792">
      <w:pPr>
        <w:pStyle w:val="maintext"/>
        <w:numPr>
          <w:ilvl w:val="0"/>
          <w:numId w:val="8"/>
        </w:numPr>
        <w:ind w:firstLineChars="0"/>
        <w:rPr>
          <w:rFonts w:ascii="Calibri" w:hAnsi="Calibri"/>
          <w:lang w:val="en-US"/>
        </w:rPr>
      </w:pPr>
      <w:r w:rsidRPr="00346542">
        <w:rPr>
          <w:rFonts w:ascii="Calibri" w:hAnsi="Calibri"/>
        </w:rPr>
        <w:t xml:space="preserve">Note: </w:t>
      </w:r>
      <w:r w:rsidRPr="00346542">
        <w:rPr>
          <w:rFonts w:ascii="Calibri" w:hAnsi="Calibri"/>
          <w:lang w:val="en-US"/>
        </w:rPr>
        <w:t>Further prioritization of these scenarios is not precluded</w:t>
      </w:r>
    </w:p>
    <w:p w14:paraId="7EC5178E" w14:textId="176AFFD7" w:rsidR="0053579B" w:rsidRPr="007E3F7C" w:rsidRDefault="0053579B" w:rsidP="00AD5792">
      <w:pPr>
        <w:pStyle w:val="maintext"/>
        <w:numPr>
          <w:ilvl w:val="0"/>
          <w:numId w:val="8"/>
        </w:numPr>
        <w:ind w:firstLineChars="0"/>
        <w:rPr>
          <w:rFonts w:ascii="Calibri" w:hAnsi="Calibri"/>
        </w:rPr>
      </w:pPr>
      <w:r w:rsidRPr="00346542">
        <w:rPr>
          <w:rFonts w:ascii="Calibri" w:hAnsi="Calibri"/>
        </w:rPr>
        <w:lastRenderedPageBreak/>
        <w:t>Continue discussion on remaining parameters and FFS points until the next RAN1 meeting.</w:t>
      </w:r>
    </w:p>
    <w:p w14:paraId="6A25B1EC" w14:textId="77777777" w:rsidR="0053579B" w:rsidRDefault="0053579B" w:rsidP="00821FED">
      <w:pPr>
        <w:ind w:left="0" w:firstLine="0"/>
        <w:rPr>
          <w:lang w:eastAsia="x-none"/>
        </w:rPr>
      </w:pPr>
      <w:r w:rsidRPr="0010402B">
        <w:rPr>
          <w:highlight w:val="green"/>
          <w:lang w:eastAsia="x-none"/>
        </w:rPr>
        <w:t>Agreements</w:t>
      </w:r>
      <w:r>
        <w:rPr>
          <w:lang w:eastAsia="x-none"/>
        </w:rPr>
        <w:t>:</w:t>
      </w:r>
    </w:p>
    <w:p w14:paraId="43279702" w14:textId="77777777" w:rsidR="0053579B" w:rsidRPr="0010402B" w:rsidRDefault="0053579B" w:rsidP="00AD5792">
      <w:pPr>
        <w:pStyle w:val="maintext"/>
        <w:numPr>
          <w:ilvl w:val="0"/>
          <w:numId w:val="9"/>
        </w:numPr>
        <w:ind w:firstLineChars="0"/>
        <w:rPr>
          <w:rFonts w:ascii="Calibri" w:hAnsi="Calibri"/>
        </w:rPr>
      </w:pPr>
      <w:r w:rsidRPr="0010402B">
        <w:rPr>
          <w:rFonts w:ascii="Calibri" w:hAnsi="Calibri"/>
        </w:rPr>
        <w:t>Take large scale parameters for flexible duplex evaluations in 38.802 as the baseline for IAB evaluations.</w:t>
      </w:r>
    </w:p>
    <w:p w14:paraId="60D8ED42" w14:textId="77777777" w:rsidR="0053579B" w:rsidRPr="0010402B" w:rsidRDefault="0053579B" w:rsidP="00AD5792">
      <w:pPr>
        <w:pStyle w:val="maintext"/>
        <w:numPr>
          <w:ilvl w:val="0"/>
          <w:numId w:val="9"/>
        </w:numPr>
        <w:ind w:firstLineChars="0"/>
        <w:rPr>
          <w:rFonts w:ascii="Calibri" w:hAnsi="Calibri"/>
        </w:rPr>
      </w:pPr>
      <w:r w:rsidRPr="0010402B">
        <w:rPr>
          <w:rFonts w:ascii="Calibri" w:hAnsi="Calibri"/>
        </w:rPr>
        <w:t>For determine the pathloss for links between the IAB node and other IAB nodes/donors, the following alternatives are considered:</w:t>
      </w:r>
    </w:p>
    <w:p w14:paraId="7D12EC64" w14:textId="77777777" w:rsidR="0053579B" w:rsidRPr="0010402B" w:rsidRDefault="0053579B" w:rsidP="00AD5792">
      <w:pPr>
        <w:pStyle w:val="maintext"/>
        <w:numPr>
          <w:ilvl w:val="1"/>
          <w:numId w:val="9"/>
        </w:numPr>
        <w:ind w:firstLineChars="0"/>
        <w:rPr>
          <w:rFonts w:ascii="Calibri" w:hAnsi="Calibri"/>
        </w:rPr>
      </w:pPr>
      <w:r w:rsidRPr="0010402B">
        <w:rPr>
          <w:rFonts w:ascii="Calibri" w:hAnsi="Calibri"/>
        </w:rPr>
        <w:t>Alt. 1: Determine the pathloss for links between the IAB node and candidate serving IAB nodes/donors based on N (value FFS but &lt;= 5) independent large-scale channel realizations (taking into account LOS/NLOS probability and shadow fading).</w:t>
      </w:r>
    </w:p>
    <w:p w14:paraId="5A03BC5A" w14:textId="77777777" w:rsidR="0053579B" w:rsidRPr="0010402B" w:rsidRDefault="0053579B" w:rsidP="00AD5792">
      <w:pPr>
        <w:pStyle w:val="maintext"/>
        <w:numPr>
          <w:ilvl w:val="2"/>
          <w:numId w:val="9"/>
        </w:numPr>
        <w:ind w:firstLineChars="0"/>
        <w:rPr>
          <w:rFonts w:ascii="Calibri" w:hAnsi="Calibri"/>
        </w:rPr>
      </w:pPr>
      <w:r w:rsidRPr="0010402B">
        <w:rPr>
          <w:rFonts w:ascii="Calibri" w:hAnsi="Calibri"/>
        </w:rPr>
        <w:t>Select the realization that results in the minimum pathloss between the IAB node and the selected serving IAB node/donor.</w:t>
      </w:r>
      <w:r w:rsidRPr="0010402B">
        <w:rPr>
          <w:rFonts w:ascii="Calibri" w:hAnsi="Calibri"/>
        </w:rPr>
        <w:tab/>
      </w:r>
    </w:p>
    <w:p w14:paraId="5C5DA4A2" w14:textId="77777777" w:rsidR="0053579B" w:rsidRPr="0010402B" w:rsidRDefault="0053579B" w:rsidP="00AD5792">
      <w:pPr>
        <w:pStyle w:val="maintext"/>
        <w:numPr>
          <w:ilvl w:val="1"/>
          <w:numId w:val="9"/>
        </w:numPr>
        <w:ind w:firstLineChars="0"/>
        <w:rPr>
          <w:rFonts w:ascii="Calibri" w:hAnsi="Calibri"/>
        </w:rPr>
      </w:pPr>
      <w:r w:rsidRPr="0010402B">
        <w:rPr>
          <w:rFonts w:ascii="Calibri" w:hAnsi="Calibri"/>
        </w:rPr>
        <w:t xml:space="preserve">Alt. 2: Determine the pathloss for links between the IAB node and candidate serving IAB nodes/donors based on a LoS probability of </w:t>
      </w:r>
      <w:r w:rsidRPr="0010402B">
        <w:rPr>
          <w:rFonts w:ascii="Calibri" w:hAnsi="Calibri" w:hint="eastAsia"/>
        </w:rPr>
        <w:t>1-(1-</w:t>
      </w:r>
      <w:r w:rsidRPr="0010402B">
        <w:rPr>
          <w:rFonts w:ascii="Calibri" w:hAnsi="Calibri"/>
        </w:rPr>
        <w:t xml:space="preserve"> Prob(R</w:t>
      </w:r>
      <w:r w:rsidRPr="0010402B">
        <w:rPr>
          <w:rFonts w:ascii="Calibri" w:hAnsi="Calibri" w:hint="eastAsia"/>
        </w:rPr>
        <w:t>)</w:t>
      </w:r>
      <w:r w:rsidRPr="0010402B">
        <w:rPr>
          <w:rFonts w:ascii="Calibri" w:hAnsi="Calibri"/>
        </w:rPr>
        <w:t>)^N (N&gt;1, N FFS). An additional “bonus” B (value of B is FFS) is added to the pathloss for links between the IAB node and the serving IAB nodes/donors. For the links between non-serving IAB nodes/donors the pathloss is determined based on the non-modified LoS probability and no bonus is applied.</w:t>
      </w:r>
    </w:p>
    <w:p w14:paraId="0F81AFD3" w14:textId="77777777" w:rsidR="0053579B" w:rsidRPr="0010402B" w:rsidRDefault="0053579B" w:rsidP="00AD5792">
      <w:pPr>
        <w:pStyle w:val="maintext"/>
        <w:numPr>
          <w:ilvl w:val="0"/>
          <w:numId w:val="9"/>
        </w:numPr>
        <w:ind w:firstLineChars="0"/>
        <w:rPr>
          <w:rFonts w:ascii="Calibri" w:hAnsi="Calibri"/>
        </w:rPr>
      </w:pPr>
      <w:r w:rsidRPr="0010402B">
        <w:rPr>
          <w:rFonts w:ascii="Calibri" w:hAnsi="Calibri"/>
        </w:rPr>
        <w:t>Continue to discuss until RAN1#93 the value of B, N, and remaining details of topology selection methodology</w:t>
      </w:r>
    </w:p>
    <w:p w14:paraId="7D42E460" w14:textId="77777777" w:rsidR="0053579B" w:rsidRPr="0010402B" w:rsidRDefault="0053579B" w:rsidP="00AD5792">
      <w:pPr>
        <w:pStyle w:val="maintext"/>
        <w:numPr>
          <w:ilvl w:val="0"/>
          <w:numId w:val="9"/>
        </w:numPr>
        <w:ind w:firstLineChars="0"/>
        <w:rPr>
          <w:rFonts w:ascii="Calibri" w:hAnsi="Calibri"/>
        </w:rPr>
      </w:pPr>
      <w:r w:rsidRPr="0010402B">
        <w:rPr>
          <w:rFonts w:ascii="Calibri" w:hAnsi="Calibri"/>
        </w:rPr>
        <w:t xml:space="preserve">Either Alt. 1 or Alt. 2 to be selected in RAN1#93. </w:t>
      </w:r>
    </w:p>
    <w:p w14:paraId="0A4035F5" w14:textId="77777777" w:rsidR="0053579B" w:rsidRDefault="0053579B" w:rsidP="007E3F7C">
      <w:pPr>
        <w:ind w:left="0" w:firstLine="0"/>
        <w:rPr>
          <w:lang w:eastAsia="x-none"/>
        </w:rPr>
      </w:pPr>
      <w:r w:rsidRPr="0010402B">
        <w:rPr>
          <w:highlight w:val="green"/>
          <w:lang w:eastAsia="x-none"/>
        </w:rPr>
        <w:t>Agreements</w:t>
      </w:r>
      <w:r>
        <w:rPr>
          <w:lang w:eastAsia="x-none"/>
        </w:rPr>
        <w:t>:</w:t>
      </w:r>
    </w:p>
    <w:p w14:paraId="5C62ADE0" w14:textId="77777777" w:rsidR="0053579B" w:rsidRPr="0010402B" w:rsidRDefault="0053579B" w:rsidP="00AD5792">
      <w:pPr>
        <w:pStyle w:val="maintext"/>
        <w:numPr>
          <w:ilvl w:val="0"/>
          <w:numId w:val="10"/>
        </w:numPr>
        <w:ind w:firstLineChars="0"/>
        <w:rPr>
          <w:rFonts w:ascii="Calibri" w:hAnsi="Calibri"/>
        </w:rPr>
      </w:pPr>
      <w:r w:rsidRPr="0010402B">
        <w:rPr>
          <w:rFonts w:ascii="Calibri" w:hAnsi="Calibri"/>
          <w:bCs/>
        </w:rPr>
        <w:t>For IAB donor (UMa) -&gt; IAB node (UMi): Apply UMa fast-fading parameters but replace ASA, ZSA using ASD and ZSD from UMi-SC separately --- follow table A.2.1-11 in TR38.802</w:t>
      </w:r>
    </w:p>
    <w:p w14:paraId="50B55B37" w14:textId="77777777" w:rsidR="0053579B" w:rsidRPr="0010402B" w:rsidRDefault="0053579B" w:rsidP="00AD5792">
      <w:pPr>
        <w:pStyle w:val="maintext"/>
        <w:numPr>
          <w:ilvl w:val="0"/>
          <w:numId w:val="10"/>
        </w:numPr>
        <w:ind w:firstLineChars="0"/>
        <w:rPr>
          <w:rFonts w:ascii="Calibri" w:hAnsi="Calibri"/>
        </w:rPr>
      </w:pPr>
      <w:r w:rsidRPr="0010402B">
        <w:rPr>
          <w:rFonts w:ascii="Calibri" w:hAnsi="Calibri"/>
          <w:bCs/>
        </w:rPr>
        <w:t>For IAB node/donor (UMi) –&gt; IAB node (UMi), Apply UMi fast-fading parameters but replace ASA, ZSA using ASD and ZSD from UMi-SC separately--- follow table A.2.1-11 in TR38.802</w:t>
      </w:r>
    </w:p>
    <w:p w14:paraId="58793BF3" w14:textId="77777777" w:rsidR="0053579B" w:rsidRPr="00F25D1D" w:rsidRDefault="0053579B" w:rsidP="007E3F7C">
      <w:pPr>
        <w:ind w:left="0" w:firstLine="0"/>
        <w:rPr>
          <w:lang w:eastAsia="x-none"/>
        </w:rPr>
      </w:pPr>
      <w:r w:rsidRPr="00F25D1D">
        <w:rPr>
          <w:highlight w:val="green"/>
          <w:lang w:eastAsia="x-none"/>
        </w:rPr>
        <w:t>Agreements</w:t>
      </w:r>
      <w:r w:rsidRPr="00F25D1D">
        <w:rPr>
          <w:lang w:eastAsia="x-none"/>
        </w:rPr>
        <w:t>:</w:t>
      </w:r>
    </w:p>
    <w:p w14:paraId="3DFDB37E" w14:textId="77777777" w:rsidR="0053579B" w:rsidRPr="00F25D1D" w:rsidRDefault="0053579B" w:rsidP="00AD5792">
      <w:pPr>
        <w:pStyle w:val="maintext"/>
        <w:numPr>
          <w:ilvl w:val="0"/>
          <w:numId w:val="11"/>
        </w:numPr>
        <w:ind w:firstLineChars="0"/>
        <w:rPr>
          <w:rFonts w:ascii="Calibri" w:hAnsi="Calibri"/>
        </w:rPr>
      </w:pPr>
      <w:r w:rsidRPr="00F25D1D">
        <w:rPr>
          <w:rFonts w:ascii="Calibri" w:hAnsi="Calibri"/>
        </w:rPr>
        <w:t>The following performance metrics should be considered in IAB evaluations:</w:t>
      </w:r>
    </w:p>
    <w:p w14:paraId="48DBB6EC" w14:textId="77777777" w:rsidR="0053579B" w:rsidRPr="00F25D1D" w:rsidRDefault="0053579B" w:rsidP="00AD5792">
      <w:pPr>
        <w:pStyle w:val="maintext"/>
        <w:numPr>
          <w:ilvl w:val="1"/>
          <w:numId w:val="11"/>
        </w:numPr>
        <w:ind w:firstLineChars="0"/>
        <w:rPr>
          <w:rFonts w:ascii="Calibri" w:hAnsi="Calibri"/>
        </w:rPr>
      </w:pPr>
      <w:r w:rsidRPr="00F25D1D">
        <w:rPr>
          <w:rFonts w:ascii="Calibri" w:hAnsi="Calibri"/>
        </w:rPr>
        <w:t>Area traffic capacity</w:t>
      </w:r>
    </w:p>
    <w:p w14:paraId="300566E2" w14:textId="77777777" w:rsidR="0053579B" w:rsidRPr="00F25D1D" w:rsidRDefault="0053579B" w:rsidP="00AD5792">
      <w:pPr>
        <w:pStyle w:val="maintext"/>
        <w:numPr>
          <w:ilvl w:val="1"/>
          <w:numId w:val="11"/>
        </w:numPr>
        <w:ind w:firstLineChars="0"/>
        <w:rPr>
          <w:rFonts w:ascii="Calibri" w:hAnsi="Calibri"/>
        </w:rPr>
      </w:pPr>
      <w:r w:rsidRPr="00F25D1D">
        <w:rPr>
          <w:rFonts w:ascii="Calibri" w:hAnsi="Calibri"/>
        </w:rPr>
        <w:t>Outage for access UEs (details FFS)</w:t>
      </w:r>
    </w:p>
    <w:p w14:paraId="5A48BC33" w14:textId="77777777" w:rsidR="0053579B" w:rsidRPr="00F25D1D" w:rsidRDefault="0053579B" w:rsidP="00AD5792">
      <w:pPr>
        <w:pStyle w:val="maintext"/>
        <w:numPr>
          <w:ilvl w:val="1"/>
          <w:numId w:val="11"/>
        </w:numPr>
        <w:ind w:firstLineChars="0"/>
        <w:rPr>
          <w:rFonts w:ascii="Calibri" w:hAnsi="Calibri"/>
        </w:rPr>
      </w:pPr>
      <w:r w:rsidRPr="00F25D1D">
        <w:rPr>
          <w:rFonts w:ascii="Calibri" w:hAnsi="Calibri"/>
        </w:rPr>
        <w:t>Per-link SNR and Geometry</w:t>
      </w:r>
    </w:p>
    <w:p w14:paraId="3368D109" w14:textId="77777777" w:rsidR="0053579B" w:rsidRPr="00F25D1D" w:rsidRDefault="0053579B" w:rsidP="00AD5792">
      <w:pPr>
        <w:pStyle w:val="maintext"/>
        <w:numPr>
          <w:ilvl w:val="2"/>
          <w:numId w:val="11"/>
        </w:numPr>
        <w:ind w:firstLineChars="0"/>
        <w:rPr>
          <w:rFonts w:ascii="Calibri" w:hAnsi="Calibri"/>
        </w:rPr>
      </w:pPr>
      <w:r w:rsidRPr="00F25D1D">
        <w:rPr>
          <w:rFonts w:ascii="Calibri" w:hAnsi="Calibri"/>
        </w:rPr>
        <w:t>Detailed definition of per-link SNR FFS</w:t>
      </w:r>
    </w:p>
    <w:p w14:paraId="57281E4F" w14:textId="77777777" w:rsidR="0053579B" w:rsidRPr="00F25D1D" w:rsidRDefault="0053579B" w:rsidP="00AD5792">
      <w:pPr>
        <w:pStyle w:val="maintext"/>
        <w:numPr>
          <w:ilvl w:val="1"/>
          <w:numId w:val="11"/>
        </w:numPr>
        <w:ind w:firstLineChars="0"/>
        <w:rPr>
          <w:rFonts w:ascii="Calibri" w:hAnsi="Calibri"/>
        </w:rPr>
      </w:pPr>
      <w:r w:rsidRPr="00F25D1D">
        <w:rPr>
          <w:rFonts w:ascii="Calibri" w:hAnsi="Calibri"/>
        </w:rPr>
        <w:t>Resource utilization (details FFS)</w:t>
      </w:r>
    </w:p>
    <w:p w14:paraId="391FA6F3" w14:textId="77777777" w:rsidR="0053579B" w:rsidRPr="00F25D1D" w:rsidRDefault="0053579B" w:rsidP="00AD5792">
      <w:pPr>
        <w:pStyle w:val="maintext"/>
        <w:numPr>
          <w:ilvl w:val="1"/>
          <w:numId w:val="11"/>
        </w:numPr>
        <w:ind w:firstLineChars="0"/>
        <w:rPr>
          <w:rFonts w:ascii="Calibri" w:hAnsi="Calibri"/>
        </w:rPr>
      </w:pPr>
      <w:r w:rsidRPr="00F25D1D">
        <w:rPr>
          <w:rFonts w:ascii="Calibri" w:hAnsi="Calibri"/>
        </w:rPr>
        <w:t>User plane latency (from the donor to the access UE)</w:t>
      </w:r>
    </w:p>
    <w:p w14:paraId="1AE891E4" w14:textId="0E54817C" w:rsidR="0083692D" w:rsidRPr="00020943" w:rsidRDefault="0053579B" w:rsidP="00020943">
      <w:pPr>
        <w:pStyle w:val="ad"/>
        <w:numPr>
          <w:ilvl w:val="1"/>
          <w:numId w:val="11"/>
        </w:numPr>
        <w:ind w:leftChars="0"/>
        <w:rPr>
          <w:rFonts w:eastAsiaTheme="minorEastAsia"/>
          <w:sz w:val="22"/>
          <w:szCs w:val="22"/>
        </w:rPr>
      </w:pPr>
      <w:r w:rsidRPr="00020943">
        <w:rPr>
          <w:rFonts w:ascii="Calibri" w:hAnsi="Calibri"/>
        </w:rPr>
        <w:lastRenderedPageBreak/>
        <w:t>User perceived throughput (UPT) for bursty traffic: the unfinished bursts should be incorporated in the UPT calculation</w:t>
      </w:r>
    </w:p>
    <w:p w14:paraId="7EE58A75" w14:textId="0F849270" w:rsidR="007E3F7C" w:rsidRPr="004D34D5" w:rsidRDefault="007E3F7C" w:rsidP="001B7D78">
      <w:pPr>
        <w:ind w:left="0" w:firstLine="0"/>
        <w:rPr>
          <w:rFonts w:eastAsiaTheme="minorEastAsia"/>
          <w:lang w:val="en-US" w:eastAsia="ko-KR"/>
        </w:rPr>
      </w:pPr>
      <w:r w:rsidRPr="004D34D5">
        <w:rPr>
          <w:rFonts w:eastAsiaTheme="minorEastAsia" w:hint="eastAsia"/>
          <w:lang w:val="en-US" w:eastAsia="ko-KR"/>
        </w:rPr>
        <w:t xml:space="preserve">In this contribution, </w:t>
      </w:r>
      <w:r w:rsidR="007849C1" w:rsidRPr="004D34D5">
        <w:rPr>
          <w:lang w:eastAsia="ko-KR"/>
        </w:rPr>
        <w:t>we discuss the evaluation methodology on NR IAB.</w:t>
      </w:r>
    </w:p>
    <w:p w14:paraId="548AF943" w14:textId="49010412" w:rsidR="00C16915" w:rsidRPr="005E31A4" w:rsidRDefault="007849C1" w:rsidP="00C16915">
      <w:pPr>
        <w:pStyle w:val="1"/>
        <w:numPr>
          <w:ilvl w:val="0"/>
          <w:numId w:val="1"/>
        </w:numPr>
        <w:rPr>
          <w:rFonts w:eastAsia="바탕" w:cs="Arial"/>
          <w:b/>
          <w:szCs w:val="28"/>
          <w:lang w:val="en-US" w:eastAsia="ko-KR"/>
        </w:rPr>
      </w:pPr>
      <w:r>
        <w:rPr>
          <w:rFonts w:eastAsiaTheme="minorEastAsia" w:cs="Arial"/>
          <w:b/>
          <w:szCs w:val="28"/>
          <w:lang w:eastAsia="ko-KR"/>
        </w:rPr>
        <w:t>Discussion on evaluation methodology</w:t>
      </w:r>
      <w:r>
        <w:rPr>
          <w:rFonts w:eastAsiaTheme="minorEastAsia" w:cs="Arial" w:hint="eastAsia"/>
          <w:b/>
          <w:szCs w:val="28"/>
          <w:lang w:eastAsia="ko-KR"/>
        </w:rPr>
        <w:t xml:space="preserve"> on IAB SLS simulation</w:t>
      </w:r>
    </w:p>
    <w:p w14:paraId="55B14B46" w14:textId="7B12FAC3" w:rsidR="004A02E3" w:rsidRPr="00D76C6B" w:rsidRDefault="007849C1" w:rsidP="00B21798">
      <w:pPr>
        <w:pStyle w:val="1"/>
        <w:numPr>
          <w:ilvl w:val="1"/>
          <w:numId w:val="1"/>
        </w:numPr>
        <w:rPr>
          <w:rFonts w:eastAsia="바탕" w:cs="Arial"/>
          <w:b/>
          <w:sz w:val="24"/>
          <w:szCs w:val="28"/>
          <w:lang w:val="en-US" w:eastAsia="ko-KR"/>
        </w:rPr>
      </w:pPr>
      <w:r>
        <w:rPr>
          <w:rFonts w:eastAsiaTheme="minorEastAsia" w:cs="Arial"/>
          <w:b/>
          <w:sz w:val="24"/>
          <w:szCs w:val="28"/>
          <w:lang w:val="en-US" w:eastAsia="ko-KR"/>
        </w:rPr>
        <w:t>Deployment scenario</w:t>
      </w:r>
    </w:p>
    <w:p w14:paraId="22651F4B" w14:textId="77777777" w:rsidR="007849C1" w:rsidRPr="004D34D5" w:rsidRDefault="007849C1" w:rsidP="007849C1">
      <w:pPr>
        <w:ind w:left="0" w:firstLine="0"/>
        <w:rPr>
          <w:rFonts w:eastAsiaTheme="minorEastAsia"/>
          <w:lang w:val="en-US" w:eastAsia="ko-KR"/>
        </w:rPr>
      </w:pPr>
      <w:r w:rsidRPr="004D34D5">
        <w:rPr>
          <w:rFonts w:eastAsiaTheme="minorEastAsia"/>
          <w:lang w:val="en-US" w:eastAsia="ko-KR"/>
        </w:rPr>
        <w:t>IAB scenario is motivated to handle the coverage hole and reduce the fiber line between DgNB/relay. In the scenario, when some nodes are located at the coverage hole, wireless backhaul is considered to reduce the fiber line between DgNB and the node, so that it can be regarded as a fixed relay. To evaluate it, it needs to be checked how well operated when relay nodes are located at a coverage hole where DgNBs are connected via fiber line.</w:t>
      </w:r>
    </w:p>
    <w:p w14:paraId="55958F83" w14:textId="513FB15E" w:rsidR="007849C1" w:rsidRPr="004D34D5" w:rsidRDefault="007849C1" w:rsidP="007849C1">
      <w:pPr>
        <w:ind w:left="0" w:firstLine="0"/>
        <w:rPr>
          <w:rFonts w:eastAsiaTheme="minorEastAsia"/>
          <w:lang w:val="en-US" w:eastAsia="ko-KR"/>
        </w:rPr>
      </w:pPr>
      <w:r w:rsidRPr="004D34D5">
        <w:rPr>
          <w:rFonts w:eastAsiaTheme="minorEastAsia" w:hint="eastAsia"/>
          <w:lang w:val="en-US" w:eastAsia="ko-KR"/>
        </w:rPr>
        <w:t xml:space="preserve">In the previous meeting, two scenarios are agreed for </w:t>
      </w:r>
      <w:r w:rsidRPr="004D34D5">
        <w:rPr>
          <w:rFonts w:eastAsiaTheme="minorEastAsia"/>
          <w:lang w:val="en-US" w:eastAsia="ko-KR"/>
        </w:rPr>
        <w:t xml:space="preserve">the deployment scenario; </w:t>
      </w:r>
      <w:r w:rsidR="00081CA2" w:rsidRPr="004D34D5">
        <w:rPr>
          <w:rFonts w:eastAsiaTheme="minorEastAsia"/>
          <w:lang w:val="en-US" w:eastAsia="ko-KR"/>
        </w:rPr>
        <w:t xml:space="preserve">Homogeneous IAB scenario and Heterogeneous IAB scenario. </w:t>
      </w:r>
      <w:r w:rsidR="00E455FA" w:rsidRPr="004D34D5">
        <w:rPr>
          <w:rFonts w:eastAsiaTheme="minorEastAsia"/>
          <w:lang w:val="en-US" w:eastAsia="ko-KR"/>
        </w:rPr>
        <w:t xml:space="preserve">Homogeneous scenario can represent coverage enhancement where the relay Micro node extends the coverage on which UEs are supported. Heterogeneous scenario can represent two aspects of coverage enhancement and capacity enhancement. </w:t>
      </w:r>
      <w:r w:rsidR="004076D5" w:rsidRPr="004D34D5">
        <w:rPr>
          <w:rFonts w:eastAsiaTheme="minorEastAsia"/>
          <w:lang w:val="en-US" w:eastAsia="ko-KR"/>
        </w:rPr>
        <w:t xml:space="preserve">Assuming </w:t>
      </w:r>
      <w:r w:rsidR="00981F0C" w:rsidRPr="004D34D5">
        <w:rPr>
          <w:rFonts w:eastAsiaTheme="minorEastAsia"/>
          <w:lang w:val="en-US" w:eastAsia="ko-KR"/>
        </w:rPr>
        <w:t xml:space="preserve">a dense urban environment, </w:t>
      </w:r>
      <w:r w:rsidR="004076D5" w:rsidRPr="004D34D5">
        <w:rPr>
          <w:rFonts w:eastAsiaTheme="minorEastAsia"/>
          <w:lang w:val="en-US" w:eastAsia="ko-KR"/>
        </w:rPr>
        <w:t xml:space="preserve">in terms of coverage enhancement, it can be seen how </w:t>
      </w:r>
      <w:r w:rsidR="00981F0C" w:rsidRPr="004D34D5">
        <w:rPr>
          <w:rFonts w:eastAsiaTheme="minorEastAsia"/>
          <w:lang w:val="en-US" w:eastAsia="ko-KR"/>
        </w:rPr>
        <w:t xml:space="preserve">the coverage hole by shadowing effect can be supported by relay nodes </w:t>
      </w:r>
      <w:r w:rsidR="004076D5" w:rsidRPr="004D34D5">
        <w:rPr>
          <w:rFonts w:eastAsiaTheme="minorEastAsia"/>
          <w:lang w:val="en-US" w:eastAsia="ko-KR"/>
        </w:rPr>
        <w:t>with wireless backhaul.</w:t>
      </w:r>
      <w:r w:rsidR="00981F0C" w:rsidRPr="004D34D5">
        <w:rPr>
          <w:rFonts w:eastAsiaTheme="minorEastAsia"/>
          <w:lang w:val="en-US" w:eastAsia="ko-KR"/>
        </w:rPr>
        <w:t xml:space="preserve"> </w:t>
      </w:r>
      <w:r w:rsidR="004076D5" w:rsidRPr="004D34D5">
        <w:rPr>
          <w:rFonts w:eastAsiaTheme="minorEastAsia"/>
          <w:lang w:val="en-US" w:eastAsia="ko-KR"/>
        </w:rPr>
        <w:t>A</w:t>
      </w:r>
      <w:r w:rsidR="00981F0C" w:rsidRPr="004D34D5">
        <w:rPr>
          <w:rFonts w:eastAsiaTheme="minorEastAsia"/>
          <w:lang w:val="en-US" w:eastAsia="ko-KR"/>
        </w:rPr>
        <w:t xml:space="preserve">lso, </w:t>
      </w:r>
      <w:r w:rsidR="004076D5" w:rsidRPr="004D34D5">
        <w:rPr>
          <w:rFonts w:eastAsiaTheme="minorEastAsia"/>
          <w:lang w:val="en-US" w:eastAsia="ko-KR"/>
        </w:rPr>
        <w:t>in a dense urban environment with dropped 60 UEs per sector, in terms of capacity enhancement, it can be evaluated that the relay node with wireless backhaul helps the Macro node to support heavy traffics. We think the motivation of two scenarios is a little duplicated in terms of coverage enhancement. Thus, heterogeneous scenario can be prioritized where capacity enhancement also can be checked.</w:t>
      </w:r>
    </w:p>
    <w:p w14:paraId="3EAD6C99" w14:textId="614C1A1C" w:rsidR="00252293" w:rsidRPr="004D34D5" w:rsidRDefault="00252293" w:rsidP="00252293">
      <w:pPr>
        <w:spacing w:after="0"/>
        <w:ind w:left="0" w:firstLine="0"/>
        <w:rPr>
          <w:rFonts w:eastAsiaTheme="minorEastAsia"/>
          <w:b/>
          <w:i/>
        </w:rPr>
      </w:pPr>
      <w:r w:rsidRPr="004D34D5">
        <w:rPr>
          <w:rFonts w:eastAsiaTheme="minorEastAsia" w:hint="eastAsia"/>
          <w:b/>
          <w:i/>
          <w:lang w:eastAsia="ko-KR"/>
        </w:rPr>
        <w:t xml:space="preserve">Proposal </w:t>
      </w:r>
      <w:r w:rsidRPr="004D34D5">
        <w:rPr>
          <w:rFonts w:eastAsiaTheme="minorEastAsia"/>
          <w:b/>
          <w:i/>
          <w:lang w:eastAsia="ko-KR"/>
        </w:rPr>
        <w:t>1</w:t>
      </w:r>
      <w:r w:rsidRPr="004D34D5">
        <w:rPr>
          <w:rFonts w:eastAsiaTheme="minorEastAsia" w:hint="eastAsia"/>
          <w:b/>
          <w:i/>
          <w:lang w:eastAsia="ko-KR"/>
        </w:rPr>
        <w:t>:</w:t>
      </w:r>
      <w:r w:rsidRPr="004D34D5">
        <w:rPr>
          <w:rFonts w:eastAsiaTheme="minorEastAsia"/>
          <w:b/>
          <w:i/>
          <w:lang w:eastAsia="ko-KR"/>
        </w:rPr>
        <w:t xml:space="preserve"> Heterogeneous IAB scenario is prioritized where </w:t>
      </w:r>
      <w:r w:rsidR="002F601C" w:rsidRPr="004D34D5">
        <w:rPr>
          <w:rFonts w:eastAsiaTheme="minorEastAsia"/>
          <w:b/>
          <w:i/>
          <w:lang w:eastAsia="ko-KR"/>
        </w:rPr>
        <w:t xml:space="preserve">both of </w:t>
      </w:r>
      <w:r w:rsidRPr="004D34D5">
        <w:rPr>
          <w:rFonts w:eastAsiaTheme="minorEastAsia"/>
          <w:b/>
          <w:i/>
          <w:lang w:eastAsia="ko-KR"/>
        </w:rPr>
        <w:t>coverage enhancement and capacity enhancement can be checked by the evaluation.</w:t>
      </w:r>
    </w:p>
    <w:p w14:paraId="1C6E48B4" w14:textId="259CBE86" w:rsidR="007849C1" w:rsidRPr="004D34D5" w:rsidRDefault="00AE31B5" w:rsidP="007849C1">
      <w:pPr>
        <w:ind w:left="0" w:firstLine="0"/>
        <w:rPr>
          <w:rFonts w:eastAsiaTheme="minorEastAsia"/>
          <w:lang w:eastAsia="ko-KR"/>
        </w:rPr>
      </w:pPr>
      <w:r w:rsidRPr="004D34D5">
        <w:rPr>
          <w:rFonts w:eastAsiaTheme="minorEastAsia"/>
          <w:lang w:eastAsia="ko-KR"/>
        </w:rPr>
        <w:t>For the relay node dropping, it is helpful to have planned dropping, as LTE simulation does. We propose to drop the relay nodes equally to consider where the coverage holes are randomly generated in the simulation whenever drop. Our proposal is described as the figure 1, considering that the</w:t>
      </w:r>
      <w:r w:rsidRPr="004D34D5">
        <w:rPr>
          <w:rFonts w:eastAsiaTheme="minorEastAsia" w:hint="eastAsia"/>
          <w:lang w:eastAsia="ko-KR"/>
        </w:rPr>
        <w:t xml:space="preserve"> number of relay </w:t>
      </w:r>
      <w:r w:rsidRPr="004D34D5">
        <w:rPr>
          <w:rFonts w:eastAsiaTheme="minorEastAsia"/>
          <w:lang w:eastAsia="ko-KR"/>
        </w:rPr>
        <w:t xml:space="preserve">nodes </w:t>
      </w:r>
      <w:r w:rsidRPr="004D34D5">
        <w:rPr>
          <w:rFonts w:eastAsiaTheme="minorEastAsia" w:hint="eastAsia"/>
          <w:lang w:eastAsia="ko-KR"/>
        </w:rPr>
        <w:t>per sector is almost agreed as 1 and 3.</w:t>
      </w:r>
    </w:p>
    <w:p w14:paraId="440ED0B6" w14:textId="3E050025" w:rsidR="00252293" w:rsidRPr="004D34D5" w:rsidRDefault="00AF3F47" w:rsidP="00AE31B5">
      <w:pPr>
        <w:ind w:left="0" w:firstLine="0"/>
        <w:jc w:val="center"/>
        <w:rPr>
          <w:rFonts w:eastAsiaTheme="minorEastAsia"/>
          <w:lang w:eastAsia="ko-KR"/>
        </w:rPr>
      </w:pPr>
      <w:r w:rsidRPr="004D34D5">
        <w:rPr>
          <w:noProof/>
          <w:lang w:val="en-US" w:eastAsia="ko-KR"/>
        </w:rPr>
        <w:drawing>
          <wp:inline distT="0" distB="0" distL="0" distR="0" wp14:anchorId="29AD7AF6" wp14:editId="0C1B3C16">
            <wp:extent cx="3836545" cy="2607659"/>
            <wp:effectExtent l="0" t="0" r="0"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9214" cy="2609473"/>
                    </a:xfrm>
                    <a:prstGeom prst="rect">
                      <a:avLst/>
                    </a:prstGeom>
                    <a:noFill/>
                    <a:ln>
                      <a:noFill/>
                    </a:ln>
                  </pic:spPr>
                </pic:pic>
              </a:graphicData>
            </a:graphic>
          </wp:inline>
        </w:drawing>
      </w:r>
    </w:p>
    <w:p w14:paraId="50EFD986" w14:textId="684E1B1D" w:rsidR="00AE31B5" w:rsidRPr="004D34D5" w:rsidRDefault="00AE31B5" w:rsidP="00AE31B5">
      <w:pPr>
        <w:ind w:left="0" w:firstLine="0"/>
        <w:jc w:val="center"/>
        <w:rPr>
          <w:rFonts w:eastAsiaTheme="minorEastAsia"/>
          <w:b/>
          <w:lang w:eastAsia="ko-KR"/>
        </w:rPr>
      </w:pPr>
      <w:r w:rsidRPr="004D34D5">
        <w:rPr>
          <w:rFonts w:eastAsiaTheme="minorEastAsia" w:hint="eastAsia"/>
          <w:b/>
          <w:lang w:eastAsia="ko-KR"/>
        </w:rPr>
        <w:lastRenderedPageBreak/>
        <w:t xml:space="preserve">Figure 1. </w:t>
      </w:r>
      <w:r w:rsidR="00AF3F47" w:rsidRPr="004D34D5">
        <w:rPr>
          <w:rFonts w:eastAsiaTheme="minorEastAsia"/>
          <w:b/>
          <w:lang w:eastAsia="ko-KR"/>
        </w:rPr>
        <w:t>The planned dropping rule of relay nodes in Heterogeneous IAB scenario</w:t>
      </w:r>
    </w:p>
    <w:p w14:paraId="2CF10C57" w14:textId="03A9BE7C" w:rsidR="00AF3F47" w:rsidRPr="004D34D5" w:rsidRDefault="00AF3F47" w:rsidP="00AF3F47">
      <w:pPr>
        <w:ind w:left="0" w:firstLine="0"/>
        <w:rPr>
          <w:rFonts w:eastAsiaTheme="minorEastAsia"/>
          <w:lang w:eastAsia="ko-KR"/>
        </w:rPr>
      </w:pPr>
      <w:r w:rsidRPr="004D34D5">
        <w:rPr>
          <w:rFonts w:eastAsiaTheme="minorEastAsia"/>
          <w:lang w:eastAsia="ko-KR"/>
        </w:rPr>
        <w:t>In the figure 1, in the left side, 21 sectors with 7 sites are plotted and in the right side, the relay dropping rule is described per sector. In the rule, firstly 4 relay nodes are generated to equally cover the sector, and 3 or 1 relay node are removed for that the Macro takes the charge for the area. For the multi-hop simulations, in the case of 3 relay nodes, the farthest relay node from Macro can be second hop, and the other nodes are single hop relay nodes.</w:t>
      </w:r>
    </w:p>
    <w:p w14:paraId="21FD54BE" w14:textId="037F33A7" w:rsidR="007519B7" w:rsidRPr="004D34D5" w:rsidRDefault="007519B7" w:rsidP="00AF3F47">
      <w:pPr>
        <w:ind w:left="0" w:firstLine="0"/>
        <w:rPr>
          <w:rFonts w:eastAsiaTheme="minorEastAsia"/>
          <w:lang w:eastAsia="ko-KR"/>
        </w:rPr>
      </w:pPr>
      <w:r w:rsidRPr="004D34D5">
        <w:rPr>
          <w:rFonts w:eastAsiaTheme="minorEastAsia"/>
          <w:lang w:eastAsia="ko-KR"/>
        </w:rPr>
        <w:t>The antenna boresight direction of relay nodes can be randomly set regardless of relay location, considering that backhaul link is a good channel quality.</w:t>
      </w:r>
    </w:p>
    <w:p w14:paraId="17DA3FA4" w14:textId="27CD3EFB" w:rsidR="007519B7" w:rsidRPr="004D34D5" w:rsidRDefault="007519B7" w:rsidP="007519B7">
      <w:pPr>
        <w:ind w:left="0" w:firstLine="0"/>
        <w:rPr>
          <w:rFonts w:eastAsiaTheme="minorEastAsia"/>
          <w:b/>
          <w:i/>
          <w:lang w:eastAsia="ko-KR"/>
        </w:rPr>
      </w:pPr>
      <w:r w:rsidRPr="004D34D5">
        <w:rPr>
          <w:rFonts w:eastAsiaTheme="minorEastAsia"/>
          <w:b/>
          <w:i/>
          <w:lang w:eastAsia="ko-KR"/>
        </w:rPr>
        <w:t xml:space="preserve">Proposal 2: For the relay drop, equally dropped in the </w:t>
      </w:r>
      <w:r w:rsidR="000628A2" w:rsidRPr="004D34D5">
        <w:rPr>
          <w:rFonts w:eastAsiaTheme="minorEastAsia"/>
          <w:b/>
          <w:i/>
          <w:lang w:eastAsia="ko-KR"/>
        </w:rPr>
        <w:t xml:space="preserve">heterogeneous IAB </w:t>
      </w:r>
      <w:r w:rsidR="00D97805" w:rsidRPr="004D34D5">
        <w:rPr>
          <w:rFonts w:eastAsiaTheme="minorEastAsia"/>
          <w:b/>
          <w:i/>
          <w:lang w:eastAsia="ko-KR"/>
        </w:rPr>
        <w:t>scenario</w:t>
      </w:r>
      <w:r w:rsidRPr="004D34D5">
        <w:rPr>
          <w:rFonts w:eastAsiaTheme="minorEastAsia"/>
          <w:b/>
          <w:i/>
          <w:lang w:eastAsia="ko-KR"/>
        </w:rPr>
        <w:t>.</w:t>
      </w:r>
    </w:p>
    <w:p w14:paraId="2AC8379E" w14:textId="399869C8" w:rsidR="007519B7" w:rsidRPr="004D34D5" w:rsidRDefault="007519B7" w:rsidP="007519B7">
      <w:pPr>
        <w:pStyle w:val="ad"/>
        <w:numPr>
          <w:ilvl w:val="0"/>
          <w:numId w:val="12"/>
        </w:numPr>
        <w:ind w:leftChars="0"/>
        <w:rPr>
          <w:rFonts w:ascii="Times New Roman" w:eastAsiaTheme="minorEastAsia" w:hAnsi="Times New Roman" w:cs="Times New Roman"/>
          <w:b/>
          <w:i/>
        </w:rPr>
      </w:pPr>
      <w:r w:rsidRPr="004D34D5">
        <w:rPr>
          <w:rFonts w:ascii="Times New Roman" w:eastAsiaTheme="minorEastAsia" w:hAnsi="Times New Roman" w:cs="Times New Roman"/>
          <w:b/>
          <w:i/>
        </w:rPr>
        <w:t>For the multi-hop IAB, the farthest relay node is the second hop out of 3 relays.</w:t>
      </w:r>
    </w:p>
    <w:p w14:paraId="41ED3D2C" w14:textId="413C17B8" w:rsidR="007519B7" w:rsidRPr="004D34D5" w:rsidRDefault="007519B7" w:rsidP="007519B7">
      <w:pPr>
        <w:pStyle w:val="ad"/>
        <w:numPr>
          <w:ilvl w:val="0"/>
          <w:numId w:val="12"/>
        </w:numPr>
        <w:ind w:leftChars="0"/>
        <w:rPr>
          <w:rFonts w:ascii="Times New Roman" w:eastAsiaTheme="minorEastAsia" w:hAnsi="Times New Roman" w:cs="Times New Roman"/>
          <w:b/>
          <w:i/>
        </w:rPr>
      </w:pPr>
      <w:r w:rsidRPr="004D34D5">
        <w:rPr>
          <w:rFonts w:ascii="Times New Roman" w:eastAsiaTheme="minorEastAsia" w:hAnsi="Times New Roman" w:cs="Times New Roman"/>
          <w:b/>
          <w:i/>
        </w:rPr>
        <w:t>For antenna boresight direction, randomly set.</w:t>
      </w:r>
    </w:p>
    <w:p w14:paraId="0722DEB7" w14:textId="6DD99671" w:rsidR="000628A2" w:rsidRPr="004D34D5" w:rsidRDefault="000628A2" w:rsidP="007519B7">
      <w:pPr>
        <w:ind w:left="0" w:firstLine="0"/>
        <w:rPr>
          <w:rFonts w:eastAsiaTheme="minorEastAsia"/>
          <w:lang w:eastAsia="ko-KR"/>
        </w:rPr>
      </w:pPr>
      <w:r w:rsidRPr="004D34D5">
        <w:rPr>
          <w:rFonts w:eastAsiaTheme="minorEastAsia" w:hint="eastAsia"/>
          <w:lang w:eastAsia="ko-KR"/>
        </w:rPr>
        <w:t xml:space="preserve">In the previous agreement, </w:t>
      </w:r>
      <w:r w:rsidRPr="004D34D5">
        <w:rPr>
          <w:rFonts w:eastAsiaTheme="minorEastAsia"/>
          <w:lang w:eastAsia="ko-KR"/>
        </w:rPr>
        <w:t>500m ISD is agreed</w:t>
      </w:r>
      <w:r w:rsidR="00D97805" w:rsidRPr="004D34D5">
        <w:rPr>
          <w:rFonts w:eastAsiaTheme="minorEastAsia"/>
          <w:lang w:eastAsia="ko-KR"/>
        </w:rPr>
        <w:t xml:space="preserve"> for the heterogeneous IAB scenario</w:t>
      </w:r>
      <w:r w:rsidRPr="004D34D5">
        <w:rPr>
          <w:rFonts w:eastAsiaTheme="minorEastAsia"/>
          <w:lang w:eastAsia="ko-KR"/>
        </w:rPr>
        <w:t>. One more of 200m ISD which is used in NR dense urban scenario can be added.</w:t>
      </w:r>
    </w:p>
    <w:p w14:paraId="720BA18D" w14:textId="3E9FB60A" w:rsidR="000628A2" w:rsidRPr="007519B7" w:rsidRDefault="000628A2" w:rsidP="000628A2">
      <w:pPr>
        <w:ind w:left="0" w:firstLine="0"/>
        <w:rPr>
          <w:rFonts w:eastAsiaTheme="minorEastAsia"/>
          <w:b/>
          <w:i/>
          <w:sz w:val="22"/>
          <w:szCs w:val="22"/>
          <w:lang w:eastAsia="ko-KR"/>
        </w:rPr>
      </w:pPr>
      <w:r w:rsidRPr="004D34D5">
        <w:rPr>
          <w:rFonts w:eastAsiaTheme="minorEastAsia"/>
          <w:b/>
          <w:i/>
          <w:lang w:eastAsia="ko-KR"/>
        </w:rPr>
        <w:t xml:space="preserve">Proposal 3: </w:t>
      </w:r>
      <w:r w:rsidR="00D97805" w:rsidRPr="004D34D5">
        <w:rPr>
          <w:rFonts w:eastAsiaTheme="minorEastAsia"/>
          <w:b/>
          <w:i/>
          <w:lang w:eastAsia="ko-KR"/>
        </w:rPr>
        <w:t>Two values of (200m, 500m) ISD are used in the heterogeneous IAB scenario</w:t>
      </w:r>
      <w:r w:rsidRPr="004D34D5">
        <w:rPr>
          <w:rFonts w:eastAsiaTheme="minorEastAsia"/>
          <w:b/>
          <w:i/>
          <w:lang w:eastAsia="ko-KR"/>
        </w:rPr>
        <w:t>.</w:t>
      </w:r>
    </w:p>
    <w:p w14:paraId="0CE9268C" w14:textId="77777777" w:rsidR="004D34D5" w:rsidRPr="0058173E" w:rsidRDefault="004D34D5" w:rsidP="004D34D5">
      <w:pPr>
        <w:pStyle w:val="ad"/>
        <w:numPr>
          <w:ilvl w:val="1"/>
          <w:numId w:val="1"/>
        </w:numPr>
        <w:ind w:leftChars="0"/>
        <w:rPr>
          <w:rFonts w:ascii="Arial" w:eastAsiaTheme="minorEastAsia" w:hAnsi="Arial" w:cs="Arial"/>
          <w:b/>
          <w:sz w:val="24"/>
          <w:szCs w:val="24"/>
        </w:rPr>
      </w:pPr>
      <w:r w:rsidRPr="0058173E">
        <w:rPr>
          <w:rFonts w:ascii="Arial" w:eastAsiaTheme="minorEastAsia" w:hAnsi="Arial" w:cs="Arial"/>
          <w:b/>
          <w:sz w:val="24"/>
          <w:szCs w:val="24"/>
        </w:rPr>
        <w:t>Channel model</w:t>
      </w:r>
    </w:p>
    <w:p w14:paraId="67788C84" w14:textId="77777777" w:rsidR="004D34D5" w:rsidRPr="004D34D5" w:rsidRDefault="004D34D5" w:rsidP="004D34D5">
      <w:pPr>
        <w:ind w:left="0" w:firstLine="0"/>
        <w:rPr>
          <w:rFonts w:eastAsiaTheme="minorEastAsia"/>
          <w:lang w:val="en-US" w:eastAsia="ko-KR"/>
        </w:rPr>
      </w:pPr>
      <w:r w:rsidRPr="004D34D5">
        <w:rPr>
          <w:rFonts w:eastAsiaTheme="minorEastAsia"/>
          <w:lang w:val="en-US" w:eastAsia="ko-KR"/>
        </w:rPr>
        <w:t>NR channel model has been made from TR38.900 to TR38.901 where the channel model for Macro to UE and Micro to UE is developed. For the IAB simulation, the channel model for Macro to Macro and Micro to Micro are necessary for the interference check. We have already discussed them in the FDR item. And, we can mainly reuse it in table A.2.1-11 in TR38.802 with some changes.</w:t>
      </w:r>
    </w:p>
    <w:p w14:paraId="16B3A4FC" w14:textId="77777777" w:rsidR="004D34D5" w:rsidRDefault="004D34D5" w:rsidP="004D34D5">
      <w:pPr>
        <w:ind w:left="0" w:firstLine="0"/>
        <w:rPr>
          <w:rFonts w:eastAsiaTheme="minorEastAsia"/>
          <w:lang w:eastAsia="ko-KR"/>
        </w:rPr>
      </w:pPr>
      <w:r>
        <w:rPr>
          <w:rFonts w:ascii="Arial" w:eastAsiaTheme="minorEastAsia" w:hAnsi="Arial" w:cs="Arial"/>
          <w:b/>
          <w:sz w:val="24"/>
          <w:szCs w:val="24"/>
        </w:rPr>
        <w:t>Large scale parameter</w:t>
      </w:r>
    </w:p>
    <w:p w14:paraId="388E3EA0" w14:textId="51EE4810" w:rsidR="004D34D5" w:rsidRPr="004D34D5" w:rsidRDefault="004D34D5" w:rsidP="004D34D5">
      <w:pPr>
        <w:ind w:left="0" w:firstLine="0"/>
        <w:rPr>
          <w:rFonts w:eastAsiaTheme="minorEastAsia"/>
          <w:lang w:eastAsia="ko-KR"/>
        </w:rPr>
      </w:pPr>
      <w:r w:rsidRPr="004D34D5">
        <w:rPr>
          <w:rFonts w:eastAsiaTheme="minorEastAsia" w:hint="eastAsia"/>
          <w:lang w:eastAsia="ko-KR"/>
        </w:rPr>
        <w:t>In the previous meeting, two alternatives are discussed for LOS probability and pathloss</w:t>
      </w:r>
      <w:r w:rsidR="007E78C1">
        <w:rPr>
          <w:rFonts w:eastAsiaTheme="minorEastAsia"/>
          <w:lang w:eastAsia="ko-KR"/>
        </w:rPr>
        <w:t xml:space="preserve"> </w:t>
      </w:r>
      <w:r w:rsidR="007E78C1" w:rsidRPr="007E78C1">
        <w:rPr>
          <w:rFonts w:eastAsiaTheme="minorEastAsia"/>
          <w:lang w:eastAsia="ko-KR"/>
        </w:rPr>
        <w:t>between the IAB node and other IAB nodes/donors</w:t>
      </w:r>
      <w:r w:rsidRPr="004D34D5">
        <w:rPr>
          <w:rFonts w:eastAsiaTheme="minorEastAsia" w:hint="eastAsia"/>
          <w:lang w:eastAsia="ko-KR"/>
        </w:rPr>
        <w:t xml:space="preserve"> to represent cell planning.</w:t>
      </w:r>
      <w:r w:rsidRPr="004D34D5">
        <w:rPr>
          <w:rFonts w:eastAsiaTheme="minorEastAsia"/>
          <w:lang w:eastAsia="ko-KR"/>
        </w:rPr>
        <w:t xml:space="preserve"> </w:t>
      </w:r>
    </w:p>
    <w:p w14:paraId="273D4202" w14:textId="77777777" w:rsidR="004D34D5" w:rsidRPr="004D34D5" w:rsidRDefault="004D34D5" w:rsidP="004D34D5">
      <w:pPr>
        <w:pStyle w:val="maintext"/>
        <w:numPr>
          <w:ilvl w:val="0"/>
          <w:numId w:val="9"/>
        </w:numPr>
        <w:ind w:firstLineChars="0"/>
      </w:pPr>
      <w:r w:rsidRPr="004D34D5">
        <w:t>Alt. 1: Determine the pathloss for links between the IAB node and candidate serving IAB nodes/donors based on N (value FFS but &lt;= 5) independent large-scale channel realizations (taking into account LOS/NLOS probability and shadow fading).</w:t>
      </w:r>
    </w:p>
    <w:p w14:paraId="741A0D15" w14:textId="77777777" w:rsidR="004D34D5" w:rsidRPr="004D34D5" w:rsidRDefault="004D34D5" w:rsidP="004D34D5">
      <w:pPr>
        <w:pStyle w:val="maintext"/>
        <w:numPr>
          <w:ilvl w:val="1"/>
          <w:numId w:val="9"/>
        </w:numPr>
        <w:ind w:firstLineChars="0"/>
      </w:pPr>
      <w:r w:rsidRPr="004D34D5">
        <w:t>Select the realization that results in the minimum pathloss between the IAB node and the selected serving IAB node/donor.</w:t>
      </w:r>
      <w:r w:rsidRPr="004D34D5">
        <w:tab/>
      </w:r>
    </w:p>
    <w:p w14:paraId="6EFAD153" w14:textId="2674CDF9" w:rsidR="004D34D5" w:rsidRPr="004D34D5" w:rsidRDefault="004D34D5" w:rsidP="004D34D5">
      <w:pPr>
        <w:pStyle w:val="ad"/>
        <w:numPr>
          <w:ilvl w:val="0"/>
          <w:numId w:val="9"/>
        </w:numPr>
        <w:ind w:leftChars="0"/>
        <w:rPr>
          <w:rFonts w:eastAsiaTheme="minorEastAsia"/>
          <w:sz w:val="22"/>
          <w:szCs w:val="22"/>
        </w:rPr>
      </w:pPr>
      <w:r w:rsidRPr="004D34D5">
        <w:rPr>
          <w:rFonts w:ascii="Times New Roman" w:hAnsi="Times New Roman" w:cs="Times New Roman"/>
        </w:rPr>
        <w:t>Alt. 2: Determine the pathloss for links between the IAB node and candidate serving IAB nodes/donors based on a LoS probability of 1-(1- Prob(R))^N (N&gt;1, N FFS). An additional “bonus” B (value of B is FFS) is added to the pathloss for links between the IAB node and the serving IAB nodes/donors. For the links between non-serving IAB nodes/donors the pathloss is determined based on the non-modified LoS probability and no bonus is applied.</w:t>
      </w:r>
    </w:p>
    <w:p w14:paraId="4584A28F" w14:textId="72ADDCC2" w:rsidR="004D34D5" w:rsidRDefault="008069DD" w:rsidP="004D34D5">
      <w:pPr>
        <w:ind w:left="0" w:firstLine="0"/>
        <w:rPr>
          <w:rFonts w:eastAsiaTheme="minorEastAsia"/>
          <w:lang w:eastAsia="ko-KR"/>
        </w:rPr>
      </w:pPr>
      <w:r>
        <w:rPr>
          <w:rFonts w:eastAsiaTheme="minorEastAsia"/>
          <w:lang w:eastAsia="ko-KR"/>
        </w:rPr>
        <w:t>Alt. 1 means one place is chosen by the best of link quality of LOS/shadowing/pahtloss out of N number of limited candidate places for relay nodes, so that it can represent cell planning. On t</w:t>
      </w:r>
      <w:r w:rsidR="007E78C1">
        <w:rPr>
          <w:rFonts w:eastAsiaTheme="minorEastAsia"/>
          <w:lang w:eastAsia="ko-KR"/>
        </w:rPr>
        <w:t xml:space="preserve">he other hand, alt. 2 means that LOS link is </w:t>
      </w:r>
      <w:r w:rsidR="007E78C1">
        <w:rPr>
          <w:rFonts w:eastAsiaTheme="minorEastAsia"/>
          <w:lang w:eastAsia="ko-KR"/>
        </w:rPr>
        <w:lastRenderedPageBreak/>
        <w:t xml:space="preserve">selected as much as possible out of N number of limited candidates, regardless of shadowing and pathloss. </w:t>
      </w:r>
      <w:r w:rsidR="001411AD">
        <w:rPr>
          <w:rFonts w:eastAsiaTheme="minorEastAsia"/>
          <w:lang w:eastAsia="ko-KR"/>
        </w:rPr>
        <w:t xml:space="preserve">Note that some NLOS links can have better link quality than LOS link according to shadowing value. </w:t>
      </w:r>
      <w:r w:rsidR="007E78C1">
        <w:rPr>
          <w:rFonts w:eastAsiaTheme="minorEastAsia"/>
          <w:lang w:eastAsia="ko-KR"/>
        </w:rPr>
        <w:t>And, if NLOS link is selected, bonus value “B” is adde</w:t>
      </w:r>
      <w:r w:rsidR="001411AD">
        <w:rPr>
          <w:rFonts w:eastAsiaTheme="minorEastAsia"/>
          <w:lang w:eastAsia="ko-KR"/>
        </w:rPr>
        <w:t>d, for which it is unclear how to generate it.</w:t>
      </w:r>
    </w:p>
    <w:p w14:paraId="4B4170B5" w14:textId="13D0F297" w:rsidR="007E78C1" w:rsidRDefault="00B56143" w:rsidP="004D34D5">
      <w:pPr>
        <w:ind w:left="0" w:firstLine="0"/>
        <w:rPr>
          <w:rFonts w:eastAsiaTheme="minorEastAsia"/>
          <w:lang w:eastAsia="ko-KR"/>
        </w:rPr>
      </w:pPr>
      <w:r>
        <w:rPr>
          <w:rFonts w:eastAsiaTheme="minorEastAsia"/>
          <w:b/>
          <w:i/>
          <w:lang w:eastAsia="ko-KR"/>
        </w:rPr>
        <w:t>Proposal 4</w:t>
      </w:r>
      <w:r w:rsidR="001411AD">
        <w:rPr>
          <w:rFonts w:eastAsiaTheme="minorEastAsia"/>
          <w:b/>
          <w:i/>
          <w:lang w:eastAsia="ko-KR"/>
        </w:rPr>
        <w:t xml:space="preserve">: Alt. 1 is chosen for LOS/shadowing/pathloss between </w:t>
      </w:r>
      <w:r w:rsidR="001411AD" w:rsidRPr="001411AD">
        <w:rPr>
          <w:rFonts w:eastAsiaTheme="minorEastAsia"/>
          <w:b/>
          <w:i/>
          <w:lang w:eastAsia="ko-KR"/>
        </w:rPr>
        <w:t>the IAB node and other IAB nodes/donors to represent cell planning</w:t>
      </w:r>
      <w:r w:rsidR="001411AD">
        <w:rPr>
          <w:rFonts w:eastAsiaTheme="minorEastAsia"/>
          <w:b/>
          <w:i/>
          <w:lang w:eastAsia="ko-KR"/>
        </w:rPr>
        <w:t>.</w:t>
      </w:r>
    </w:p>
    <w:p w14:paraId="5EC7E33F" w14:textId="77777777" w:rsidR="00020943" w:rsidRDefault="00020943" w:rsidP="00020943">
      <w:pPr>
        <w:pStyle w:val="ad"/>
        <w:numPr>
          <w:ilvl w:val="1"/>
          <w:numId w:val="1"/>
        </w:numPr>
        <w:ind w:leftChars="0"/>
        <w:rPr>
          <w:rFonts w:ascii="Arial" w:eastAsiaTheme="minorEastAsia" w:hAnsi="Arial" w:cs="Arial"/>
          <w:b/>
          <w:sz w:val="24"/>
          <w:szCs w:val="24"/>
        </w:rPr>
      </w:pPr>
      <w:r w:rsidRPr="00773193">
        <w:rPr>
          <w:rFonts w:ascii="Arial" w:eastAsiaTheme="minorEastAsia" w:hAnsi="Arial" w:cs="Arial"/>
          <w:b/>
          <w:sz w:val="24"/>
          <w:szCs w:val="24"/>
        </w:rPr>
        <w:t>Performance metric</w:t>
      </w:r>
    </w:p>
    <w:p w14:paraId="1AB1FCD4" w14:textId="77777777" w:rsidR="002F1B0B" w:rsidRDefault="00020943" w:rsidP="00020943">
      <w:pPr>
        <w:ind w:left="0" w:firstLine="0"/>
        <w:rPr>
          <w:rFonts w:eastAsiaTheme="minorEastAsia"/>
          <w:lang w:eastAsia="ko-KR"/>
        </w:rPr>
      </w:pPr>
      <w:r w:rsidRPr="00773193">
        <w:rPr>
          <w:rFonts w:eastAsiaTheme="minorEastAsia" w:hint="cs"/>
          <w:lang w:eastAsia="ko-KR"/>
        </w:rPr>
        <w:t xml:space="preserve">For </w:t>
      </w:r>
      <w:r>
        <w:rPr>
          <w:rFonts w:eastAsiaTheme="minorEastAsia"/>
          <w:lang w:eastAsia="ko-KR"/>
        </w:rPr>
        <w:t>the performance metric in IAB SLS, in terms of the effect to supplement the coverage hole, outage probability needs to be checked, which is the probability of zero throughput. Also, user perceived throughput is considered to check the relay capacity.</w:t>
      </w:r>
      <w:r w:rsidR="002F1B0B">
        <w:rPr>
          <w:rFonts w:eastAsiaTheme="minorEastAsia"/>
          <w:lang w:eastAsia="ko-KR"/>
        </w:rPr>
        <w:t xml:space="preserve"> </w:t>
      </w:r>
    </w:p>
    <w:p w14:paraId="3565D2E3" w14:textId="16064BAB" w:rsidR="00020943" w:rsidRDefault="002F1B0B" w:rsidP="00020943">
      <w:pPr>
        <w:ind w:left="0" w:firstLine="0"/>
        <w:rPr>
          <w:rFonts w:eastAsiaTheme="minorEastAsia"/>
          <w:lang w:eastAsia="ko-KR"/>
        </w:rPr>
      </w:pPr>
      <w:r>
        <w:rPr>
          <w:rFonts w:eastAsiaTheme="minorEastAsia"/>
          <w:lang w:eastAsia="ko-KR"/>
        </w:rPr>
        <w:t xml:space="preserve">For the throughput, resource utilization (RU) is necessary to be defined for its relay scenario. </w:t>
      </w:r>
      <w:r w:rsidR="007973FF">
        <w:rPr>
          <w:rFonts w:eastAsiaTheme="minorEastAsia"/>
          <w:lang w:eastAsia="ko-KR"/>
        </w:rPr>
        <w:t>In a sector, since backhaul link and access link share the spectrum in inband scenario, the union of the used resource of all the backhaul and access links can be considered for RU definition.</w:t>
      </w:r>
    </w:p>
    <w:p w14:paraId="013E40A2" w14:textId="53B84F97" w:rsidR="002F1B0B" w:rsidRDefault="00126EB5" w:rsidP="00020943">
      <w:pPr>
        <w:ind w:left="0" w:firstLine="0"/>
        <w:rPr>
          <w:rFonts w:eastAsiaTheme="minorEastAsia"/>
          <w:lang w:eastAsia="ko-KR"/>
        </w:rPr>
      </w:pPr>
      <w:r>
        <w:rPr>
          <w:rFonts w:eastAsiaTheme="minorEastAsia"/>
          <w:lang w:eastAsia="ko-KR"/>
        </w:rPr>
        <w:t>For the geometry, in spite of single hop, two links of backhaul link and access link exist. If multi-hop is considered, we can have more links. One alternative for the geometry is to adopt the minimum SINR of all links from DgNB to UE via relays. It is common sense in academy that minimum link quality among links from source to destination via relay is dependent on the final performance</w:t>
      </w:r>
      <w:r w:rsidR="002F1B0B">
        <w:rPr>
          <w:rFonts w:eastAsiaTheme="minorEastAsia"/>
          <w:lang w:eastAsia="ko-KR"/>
        </w:rPr>
        <w:t xml:space="preserve"> [</w:t>
      </w:r>
      <w:r w:rsidR="00A13EAC">
        <w:rPr>
          <w:rFonts w:eastAsiaTheme="minorEastAsia"/>
          <w:lang w:eastAsia="ko-KR"/>
        </w:rPr>
        <w:t>1</w:t>
      </w:r>
      <w:r w:rsidR="002F1B0B">
        <w:rPr>
          <w:rFonts w:eastAsiaTheme="minorEastAsia"/>
          <w:lang w:eastAsia="ko-KR"/>
        </w:rPr>
        <w:t>]</w:t>
      </w:r>
      <w:r>
        <w:rPr>
          <w:rFonts w:eastAsiaTheme="minorEastAsia"/>
          <w:lang w:eastAsia="ko-KR"/>
        </w:rPr>
        <w:t xml:space="preserve">. </w:t>
      </w:r>
      <w:r w:rsidR="002F1B0B">
        <w:rPr>
          <w:rFonts w:eastAsiaTheme="minorEastAsia"/>
          <w:lang w:eastAsia="ko-KR"/>
        </w:rPr>
        <w:t>If the proposed method for geometry is adopted, we can check the performance gain roughly when adding relay nodes.</w:t>
      </w:r>
    </w:p>
    <w:p w14:paraId="1E5810A1" w14:textId="7A880C03" w:rsidR="00020943" w:rsidRDefault="00020943" w:rsidP="00020943">
      <w:pPr>
        <w:ind w:left="0" w:firstLine="0"/>
        <w:rPr>
          <w:rFonts w:eastAsiaTheme="minorEastAsia"/>
          <w:b/>
          <w:i/>
          <w:lang w:eastAsia="ko-KR"/>
        </w:rPr>
      </w:pPr>
      <w:r>
        <w:rPr>
          <w:rFonts w:eastAsiaTheme="minorEastAsia"/>
          <w:b/>
          <w:i/>
          <w:lang w:eastAsia="ko-KR"/>
        </w:rPr>
        <w:t>Propo</w:t>
      </w:r>
      <w:r w:rsidR="007973FF">
        <w:rPr>
          <w:rFonts w:eastAsiaTheme="minorEastAsia"/>
          <w:b/>
          <w:i/>
          <w:lang w:eastAsia="ko-KR"/>
        </w:rPr>
        <w:t>sal 5</w:t>
      </w:r>
      <w:r>
        <w:rPr>
          <w:rFonts w:eastAsiaTheme="minorEastAsia"/>
          <w:b/>
          <w:i/>
          <w:lang w:eastAsia="ko-KR"/>
        </w:rPr>
        <w:t xml:space="preserve">: For the performance metric in IAB SLS, </w:t>
      </w:r>
    </w:p>
    <w:p w14:paraId="3382B2E0" w14:textId="77777777" w:rsidR="00020943" w:rsidRDefault="00020943" w:rsidP="00020943">
      <w:pPr>
        <w:pStyle w:val="ad"/>
        <w:numPr>
          <w:ilvl w:val="1"/>
          <w:numId w:val="14"/>
        </w:numPr>
        <w:ind w:leftChars="0"/>
        <w:rPr>
          <w:rFonts w:ascii="Times New Roman" w:eastAsiaTheme="minorEastAsia" w:hAnsi="Times New Roman" w:cs="Times New Roman"/>
          <w:b/>
          <w:i/>
        </w:rPr>
      </w:pPr>
      <w:r>
        <w:rPr>
          <w:rFonts w:ascii="Times New Roman" w:eastAsiaTheme="minorEastAsia" w:hAnsi="Times New Roman" w:cs="Times New Roman"/>
          <w:b/>
          <w:i/>
        </w:rPr>
        <w:t>Outage probability</w:t>
      </w:r>
    </w:p>
    <w:p w14:paraId="4B709198" w14:textId="6E17270D" w:rsidR="004D34D5" w:rsidRPr="007973FF" w:rsidRDefault="00020943" w:rsidP="00020943">
      <w:pPr>
        <w:pStyle w:val="ad"/>
        <w:numPr>
          <w:ilvl w:val="1"/>
          <w:numId w:val="14"/>
        </w:numPr>
        <w:ind w:leftChars="0"/>
        <w:rPr>
          <w:rFonts w:ascii="Times New Roman" w:eastAsiaTheme="minorEastAsia" w:hAnsi="Times New Roman" w:cs="Times New Roman"/>
          <w:lang w:val="en-GB"/>
        </w:rPr>
      </w:pPr>
      <w:r w:rsidRPr="00020943">
        <w:rPr>
          <w:rFonts w:ascii="Times New Roman" w:eastAsiaTheme="minorEastAsia" w:hAnsi="Times New Roman" w:cs="Times New Roman"/>
          <w:b/>
          <w:i/>
        </w:rPr>
        <w:t>User perceived throughput</w:t>
      </w:r>
    </w:p>
    <w:p w14:paraId="0D614CE1" w14:textId="4C846E41" w:rsidR="007973FF" w:rsidRPr="007973FF" w:rsidRDefault="007973FF" w:rsidP="007973FF">
      <w:pPr>
        <w:pStyle w:val="ad"/>
        <w:numPr>
          <w:ilvl w:val="2"/>
          <w:numId w:val="14"/>
        </w:numPr>
        <w:ind w:left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RU: </w:t>
      </w:r>
      <w:r w:rsidRPr="007973FF">
        <w:rPr>
          <w:rFonts w:ascii="Times New Roman" w:eastAsiaTheme="minorEastAsia" w:hAnsi="Times New Roman" w:cs="Times New Roman"/>
          <w:b/>
          <w:i/>
          <w:lang w:val="en-GB"/>
        </w:rPr>
        <w:t xml:space="preserve">The union of </w:t>
      </w:r>
      <w:r w:rsidRPr="007973FF">
        <w:rPr>
          <w:rFonts w:ascii="Times New Roman" w:eastAsiaTheme="minorEastAsia" w:hAnsi="Times New Roman" w:cs="Times New Roman"/>
          <w:b/>
          <w:i/>
        </w:rPr>
        <w:t>the used resource of all the backhaul and access links</w:t>
      </w:r>
    </w:p>
    <w:p w14:paraId="0F8684D7" w14:textId="20D2AF87" w:rsidR="007973FF" w:rsidRPr="007973FF" w:rsidRDefault="007973FF" w:rsidP="007973FF">
      <w:pPr>
        <w:pStyle w:val="ad"/>
        <w:numPr>
          <w:ilvl w:val="1"/>
          <w:numId w:val="14"/>
        </w:numPr>
        <w:ind w:leftChars="0"/>
        <w:rPr>
          <w:rFonts w:ascii="Times New Roman" w:eastAsiaTheme="minorEastAsia" w:hAnsi="Times New Roman" w:cs="Times New Roman"/>
          <w:b/>
          <w:i/>
          <w:lang w:val="en-GB"/>
        </w:rPr>
      </w:pPr>
      <w:r>
        <w:rPr>
          <w:rFonts w:ascii="Times New Roman" w:eastAsiaTheme="minorEastAsia" w:hAnsi="Times New Roman" w:cs="Times New Roman"/>
          <w:b/>
          <w:i/>
        </w:rPr>
        <w:t>Geometry</w:t>
      </w:r>
    </w:p>
    <w:p w14:paraId="36A2DBB0" w14:textId="376451EF" w:rsidR="007973FF" w:rsidRPr="007973FF" w:rsidRDefault="007973FF" w:rsidP="007973FF">
      <w:pPr>
        <w:pStyle w:val="ad"/>
        <w:numPr>
          <w:ilvl w:val="2"/>
          <w:numId w:val="14"/>
        </w:numPr>
        <w:ind w:leftChars="0"/>
        <w:rPr>
          <w:rFonts w:ascii="Times New Roman" w:eastAsiaTheme="minorEastAsia" w:hAnsi="Times New Roman" w:cs="Times New Roman"/>
          <w:b/>
          <w:i/>
          <w:lang w:val="en-GB"/>
        </w:rPr>
      </w:pPr>
      <w:r w:rsidRPr="007973FF">
        <w:rPr>
          <w:rFonts w:ascii="Times New Roman" w:eastAsiaTheme="minorEastAsia" w:hAnsi="Times New Roman" w:cs="Times New Roman"/>
          <w:b/>
          <w:i/>
          <w:lang w:val="en-GB"/>
        </w:rPr>
        <w:t>minimum SINR of all links from DgNB to UE via relays</w:t>
      </w: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10404224" w14:textId="1504BA23" w:rsidR="007973FF" w:rsidRDefault="007973FF" w:rsidP="007973FF">
      <w:pPr>
        <w:ind w:left="0" w:firstLine="0"/>
        <w:rPr>
          <w:rFonts w:eastAsiaTheme="minorEastAsia"/>
          <w:lang w:eastAsia="ko-KR"/>
        </w:rPr>
      </w:pPr>
      <w:r>
        <w:rPr>
          <w:rFonts w:eastAsiaTheme="minorEastAsia" w:hint="eastAsia"/>
          <w:lang w:eastAsia="ko-KR"/>
        </w:rPr>
        <w:t>B</w:t>
      </w:r>
      <w:r>
        <w:rPr>
          <w:rFonts w:eastAsiaTheme="minorEastAsia"/>
          <w:lang w:eastAsia="ko-KR"/>
        </w:rPr>
        <w:t>ased on the discussion, the following proposals are made:</w:t>
      </w:r>
    </w:p>
    <w:p w14:paraId="20E9D3DA" w14:textId="100E9955" w:rsidR="000F3B72" w:rsidRDefault="007973FF" w:rsidP="000F3B72">
      <w:pPr>
        <w:ind w:left="0" w:firstLine="0"/>
        <w:rPr>
          <w:rFonts w:eastAsiaTheme="minorEastAsia"/>
          <w:b/>
          <w:i/>
          <w:lang w:eastAsia="ko-KR"/>
        </w:rPr>
      </w:pPr>
      <w:r w:rsidRPr="004D34D5">
        <w:rPr>
          <w:rFonts w:eastAsiaTheme="minorEastAsia" w:hint="eastAsia"/>
          <w:b/>
          <w:i/>
          <w:lang w:eastAsia="ko-KR"/>
        </w:rPr>
        <w:t xml:space="preserve">Proposal </w:t>
      </w:r>
      <w:r w:rsidRPr="004D34D5">
        <w:rPr>
          <w:rFonts w:eastAsiaTheme="minorEastAsia"/>
          <w:b/>
          <w:i/>
          <w:lang w:eastAsia="ko-KR"/>
        </w:rPr>
        <w:t>1</w:t>
      </w:r>
      <w:r w:rsidRPr="004D34D5">
        <w:rPr>
          <w:rFonts w:eastAsiaTheme="minorEastAsia" w:hint="eastAsia"/>
          <w:b/>
          <w:i/>
          <w:lang w:eastAsia="ko-KR"/>
        </w:rPr>
        <w:t>:</w:t>
      </w:r>
      <w:r w:rsidRPr="004D34D5">
        <w:rPr>
          <w:rFonts w:eastAsiaTheme="minorEastAsia"/>
          <w:b/>
          <w:i/>
          <w:lang w:eastAsia="ko-KR"/>
        </w:rPr>
        <w:t xml:space="preserve"> Heterogeneous IAB scenario is prioritized where both of coverage enhancement and capacity enhancement can be checked by the evaluation</w:t>
      </w:r>
      <w:r>
        <w:rPr>
          <w:rFonts w:eastAsiaTheme="minorEastAsia"/>
          <w:b/>
          <w:i/>
          <w:lang w:eastAsia="ko-KR"/>
        </w:rPr>
        <w:t>.</w:t>
      </w:r>
    </w:p>
    <w:p w14:paraId="11B67C19" w14:textId="77777777" w:rsidR="007973FF" w:rsidRPr="004D34D5" w:rsidRDefault="007973FF" w:rsidP="007973FF">
      <w:pPr>
        <w:ind w:left="0" w:firstLine="0"/>
        <w:rPr>
          <w:rFonts w:eastAsiaTheme="minorEastAsia"/>
          <w:b/>
          <w:i/>
          <w:lang w:eastAsia="ko-KR"/>
        </w:rPr>
      </w:pPr>
      <w:r w:rsidRPr="004D34D5">
        <w:rPr>
          <w:rFonts w:eastAsiaTheme="minorEastAsia"/>
          <w:b/>
          <w:i/>
          <w:lang w:eastAsia="ko-KR"/>
        </w:rPr>
        <w:t>Proposal 2: For the relay drop, equally dropped in the heterogeneous IAB scenario.</w:t>
      </w:r>
    </w:p>
    <w:p w14:paraId="20C37B1D" w14:textId="77777777" w:rsidR="007973FF" w:rsidRPr="004D34D5" w:rsidRDefault="007973FF" w:rsidP="007973FF">
      <w:pPr>
        <w:pStyle w:val="ad"/>
        <w:numPr>
          <w:ilvl w:val="0"/>
          <w:numId w:val="15"/>
        </w:numPr>
        <w:ind w:leftChars="0"/>
        <w:rPr>
          <w:rFonts w:ascii="Times New Roman" w:eastAsiaTheme="minorEastAsia" w:hAnsi="Times New Roman" w:cs="Times New Roman"/>
          <w:b/>
          <w:i/>
        </w:rPr>
      </w:pPr>
      <w:r w:rsidRPr="004D34D5">
        <w:rPr>
          <w:rFonts w:ascii="Times New Roman" w:eastAsiaTheme="minorEastAsia" w:hAnsi="Times New Roman" w:cs="Times New Roman"/>
          <w:b/>
          <w:i/>
        </w:rPr>
        <w:t>For the multi-hop IAB, the farthest relay node is the second hop out of 3 relays.</w:t>
      </w:r>
    </w:p>
    <w:p w14:paraId="3CF4A299" w14:textId="151B1DB3" w:rsidR="007973FF" w:rsidRPr="007973FF" w:rsidRDefault="007973FF" w:rsidP="007973FF">
      <w:pPr>
        <w:pStyle w:val="ad"/>
        <w:numPr>
          <w:ilvl w:val="0"/>
          <w:numId w:val="15"/>
        </w:numPr>
        <w:ind w:leftChars="0"/>
        <w:rPr>
          <w:rFonts w:ascii="Times New Roman" w:eastAsiaTheme="minorEastAsia" w:hAnsi="Times New Roman" w:cs="Times New Roman"/>
          <w:b/>
          <w:i/>
        </w:rPr>
      </w:pPr>
      <w:r w:rsidRPr="007973FF">
        <w:rPr>
          <w:rFonts w:ascii="Times New Roman" w:eastAsiaTheme="minorEastAsia" w:hAnsi="Times New Roman" w:cs="Times New Roman"/>
          <w:b/>
          <w:i/>
        </w:rPr>
        <w:t>For antenna boresight direction, randomly set.</w:t>
      </w:r>
    </w:p>
    <w:p w14:paraId="34DDBF95" w14:textId="58BA945C" w:rsidR="001E3E7D" w:rsidRDefault="007973FF" w:rsidP="003A5C57">
      <w:pPr>
        <w:ind w:left="0" w:firstLine="0"/>
        <w:rPr>
          <w:rFonts w:eastAsiaTheme="minorEastAsia"/>
          <w:b/>
          <w:i/>
          <w:lang w:eastAsia="ko-KR"/>
        </w:rPr>
      </w:pPr>
      <w:r w:rsidRPr="004D34D5">
        <w:rPr>
          <w:rFonts w:eastAsiaTheme="minorEastAsia"/>
          <w:b/>
          <w:i/>
          <w:lang w:eastAsia="ko-KR"/>
        </w:rPr>
        <w:t>Proposal 3: Two values of (200m, 500m) ISD are used in the heterogeneous IAB scenario.</w:t>
      </w:r>
    </w:p>
    <w:p w14:paraId="12A9D778" w14:textId="789CD6B0" w:rsidR="007973FF" w:rsidRDefault="007973FF" w:rsidP="003A5C57">
      <w:pPr>
        <w:ind w:left="0" w:firstLine="0"/>
        <w:rPr>
          <w:rFonts w:eastAsiaTheme="minorEastAsia"/>
          <w:b/>
          <w:i/>
          <w:lang w:eastAsia="ko-KR"/>
        </w:rPr>
      </w:pPr>
      <w:r>
        <w:rPr>
          <w:rFonts w:eastAsiaTheme="minorEastAsia"/>
          <w:b/>
          <w:i/>
          <w:lang w:eastAsia="ko-KR"/>
        </w:rPr>
        <w:lastRenderedPageBreak/>
        <w:t xml:space="preserve">Proposal 4: Alt. 1 is chosen for LOS/shadowing/pathloss between </w:t>
      </w:r>
      <w:r w:rsidRPr="001411AD">
        <w:rPr>
          <w:rFonts w:eastAsiaTheme="minorEastAsia"/>
          <w:b/>
          <w:i/>
          <w:lang w:eastAsia="ko-KR"/>
        </w:rPr>
        <w:t>the IAB node and other IAB nodes/donors to represent cell planning</w:t>
      </w:r>
      <w:r>
        <w:rPr>
          <w:rFonts w:eastAsiaTheme="minorEastAsia"/>
          <w:b/>
          <w:i/>
          <w:lang w:eastAsia="ko-KR"/>
        </w:rPr>
        <w:t>.</w:t>
      </w:r>
    </w:p>
    <w:p w14:paraId="503C8F44" w14:textId="77777777" w:rsidR="007973FF" w:rsidRDefault="007973FF" w:rsidP="007973FF">
      <w:pPr>
        <w:ind w:left="0" w:firstLine="0"/>
        <w:rPr>
          <w:rFonts w:eastAsiaTheme="minorEastAsia"/>
          <w:b/>
          <w:i/>
          <w:lang w:eastAsia="ko-KR"/>
        </w:rPr>
      </w:pPr>
      <w:r>
        <w:rPr>
          <w:rFonts w:eastAsiaTheme="minorEastAsia"/>
          <w:b/>
          <w:i/>
          <w:lang w:eastAsia="ko-KR"/>
        </w:rPr>
        <w:t xml:space="preserve">Proposal 5: For the performance metric in IAB SLS, </w:t>
      </w:r>
    </w:p>
    <w:p w14:paraId="3E510FC0" w14:textId="77777777" w:rsidR="007973FF" w:rsidRDefault="007973FF" w:rsidP="007973FF">
      <w:pPr>
        <w:pStyle w:val="ad"/>
        <w:numPr>
          <w:ilvl w:val="0"/>
          <w:numId w:val="16"/>
        </w:numPr>
        <w:ind w:leftChars="0"/>
        <w:rPr>
          <w:rFonts w:ascii="Times New Roman" w:eastAsiaTheme="minorEastAsia" w:hAnsi="Times New Roman" w:cs="Times New Roman"/>
          <w:b/>
          <w:i/>
        </w:rPr>
      </w:pPr>
      <w:r>
        <w:rPr>
          <w:rFonts w:ascii="Times New Roman" w:eastAsiaTheme="minorEastAsia" w:hAnsi="Times New Roman" w:cs="Times New Roman"/>
          <w:b/>
          <w:i/>
        </w:rPr>
        <w:t>Outage probability</w:t>
      </w:r>
    </w:p>
    <w:p w14:paraId="46D60FBE" w14:textId="77777777" w:rsidR="007973FF" w:rsidRPr="007973FF" w:rsidRDefault="007973FF" w:rsidP="007973FF">
      <w:pPr>
        <w:pStyle w:val="ad"/>
        <w:numPr>
          <w:ilvl w:val="0"/>
          <w:numId w:val="16"/>
        </w:numPr>
        <w:ind w:leftChars="0"/>
        <w:rPr>
          <w:rFonts w:ascii="Times New Roman" w:eastAsiaTheme="minorEastAsia" w:hAnsi="Times New Roman" w:cs="Times New Roman"/>
          <w:lang w:val="en-GB"/>
        </w:rPr>
      </w:pPr>
      <w:r w:rsidRPr="00020943">
        <w:rPr>
          <w:rFonts w:ascii="Times New Roman" w:eastAsiaTheme="minorEastAsia" w:hAnsi="Times New Roman" w:cs="Times New Roman"/>
          <w:b/>
          <w:i/>
        </w:rPr>
        <w:t>User perceived throughput</w:t>
      </w:r>
    </w:p>
    <w:p w14:paraId="1D26C172" w14:textId="77777777" w:rsidR="007973FF" w:rsidRPr="007973FF" w:rsidRDefault="007973FF" w:rsidP="007973FF">
      <w:pPr>
        <w:pStyle w:val="ad"/>
        <w:numPr>
          <w:ilvl w:val="0"/>
          <w:numId w:val="17"/>
        </w:numPr>
        <w:ind w:left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RU: </w:t>
      </w:r>
      <w:r w:rsidRPr="007973FF">
        <w:rPr>
          <w:rFonts w:ascii="Times New Roman" w:eastAsiaTheme="minorEastAsia" w:hAnsi="Times New Roman" w:cs="Times New Roman"/>
          <w:b/>
          <w:i/>
          <w:lang w:val="en-GB"/>
        </w:rPr>
        <w:t xml:space="preserve">The union of </w:t>
      </w:r>
      <w:r w:rsidRPr="007973FF">
        <w:rPr>
          <w:rFonts w:ascii="Times New Roman" w:eastAsiaTheme="minorEastAsia" w:hAnsi="Times New Roman" w:cs="Times New Roman"/>
          <w:b/>
          <w:i/>
        </w:rPr>
        <w:t>the used resource of all the backhaul and access links</w:t>
      </w:r>
    </w:p>
    <w:p w14:paraId="72D7E896" w14:textId="77777777" w:rsidR="007973FF" w:rsidRPr="007973FF" w:rsidRDefault="007973FF" w:rsidP="007973FF">
      <w:pPr>
        <w:pStyle w:val="ad"/>
        <w:numPr>
          <w:ilvl w:val="0"/>
          <w:numId w:val="16"/>
        </w:numPr>
        <w:ind w:leftChars="0"/>
        <w:rPr>
          <w:rFonts w:ascii="Times New Roman" w:eastAsiaTheme="minorEastAsia" w:hAnsi="Times New Roman" w:cs="Times New Roman"/>
          <w:b/>
          <w:i/>
          <w:lang w:val="en-GB"/>
        </w:rPr>
      </w:pPr>
      <w:r>
        <w:rPr>
          <w:rFonts w:ascii="Times New Roman" w:eastAsiaTheme="minorEastAsia" w:hAnsi="Times New Roman" w:cs="Times New Roman"/>
          <w:b/>
          <w:i/>
        </w:rPr>
        <w:t>Geometry</w:t>
      </w:r>
    </w:p>
    <w:p w14:paraId="22582347" w14:textId="368BA2EE" w:rsidR="007973FF" w:rsidRPr="007973FF" w:rsidRDefault="007973FF" w:rsidP="007973FF">
      <w:pPr>
        <w:pStyle w:val="ad"/>
        <w:numPr>
          <w:ilvl w:val="2"/>
          <w:numId w:val="16"/>
        </w:numPr>
        <w:ind w:leftChars="0"/>
        <w:rPr>
          <w:rFonts w:ascii="Times New Roman" w:eastAsiaTheme="minorEastAsia" w:hAnsi="Times New Roman" w:cs="Times New Roman"/>
          <w:b/>
          <w:i/>
          <w:lang w:val="en-GB"/>
        </w:rPr>
      </w:pPr>
      <w:r>
        <w:rPr>
          <w:rFonts w:ascii="Times New Roman" w:eastAsiaTheme="minorEastAsia" w:hAnsi="Times New Roman" w:cs="Times New Roman"/>
          <w:b/>
          <w:i/>
        </w:rPr>
        <w:t>Minimum SINR of all links from DgNB to UE via relays</w:t>
      </w: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397C9D03" w:rsidR="007C6C7C" w:rsidRPr="00AF52EA" w:rsidRDefault="00A13EAC" w:rsidP="00AF52EA">
      <w:pPr>
        <w:pStyle w:val="References"/>
        <w:tabs>
          <w:tab w:val="clear" w:pos="6031"/>
          <w:tab w:val="num" w:pos="5831"/>
        </w:tabs>
        <w:ind w:leftChars="100" w:left="560" w:rightChars="100" w:right="200"/>
        <w:rPr>
          <w:sz w:val="20"/>
          <w:szCs w:val="20"/>
          <w:lang w:eastAsia="ko-KR"/>
        </w:rPr>
      </w:pPr>
      <w:r w:rsidRPr="00AF52EA">
        <w:rPr>
          <w:sz w:val="20"/>
          <w:szCs w:val="20"/>
          <w:lang w:eastAsia="ko-KR"/>
        </w:rPr>
        <w:t xml:space="preserve">M. O. Hasna and M.-S. Alouini, </w:t>
      </w:r>
      <w:r w:rsidRPr="00AF52EA">
        <w:rPr>
          <w:rFonts w:hint="eastAsia"/>
          <w:sz w:val="20"/>
          <w:szCs w:val="20"/>
          <w:lang w:eastAsia="ko-KR"/>
        </w:rPr>
        <w:t>“</w:t>
      </w:r>
      <w:r w:rsidRPr="00AF52EA">
        <w:rPr>
          <w:sz w:val="20"/>
          <w:szCs w:val="20"/>
          <w:lang w:eastAsia="ko-KR"/>
        </w:rPr>
        <w:t xml:space="preserve">Outage probability of multihop transmission over Nakagami </w:t>
      </w:r>
      <w:r w:rsidRPr="00A13EAC">
        <w:rPr>
          <w:rFonts w:eastAsia="맑은 고딕"/>
          <w:sz w:val="20"/>
          <w:szCs w:val="20"/>
          <w:lang w:eastAsia="ko-KR"/>
        </w:rPr>
        <w:t>fadi</w:t>
      </w:r>
      <w:r>
        <w:rPr>
          <w:rFonts w:eastAsia="맑은 고딕"/>
          <w:sz w:val="20"/>
          <w:szCs w:val="20"/>
          <w:lang w:eastAsia="ko-KR"/>
        </w:rPr>
        <w:t>ng channels,” IEEE Commun. Lett</w:t>
      </w:r>
      <w:r>
        <w:rPr>
          <w:rFonts w:eastAsia="맑은 고딕" w:hint="eastAsia"/>
          <w:sz w:val="20"/>
          <w:szCs w:val="20"/>
          <w:lang w:eastAsia="ko-KR"/>
        </w:rPr>
        <w:t>er</w:t>
      </w:r>
      <w:r w:rsidRPr="00A13EAC">
        <w:rPr>
          <w:rFonts w:eastAsia="맑은 고딕"/>
          <w:sz w:val="20"/>
          <w:szCs w:val="20"/>
          <w:lang w:eastAsia="ko-KR"/>
        </w:rPr>
        <w:t>, vol. 7, no. 5, pp. 216–218, May</w:t>
      </w:r>
      <w:r>
        <w:rPr>
          <w:rFonts w:eastAsia="맑은 고딕"/>
          <w:sz w:val="20"/>
          <w:szCs w:val="20"/>
          <w:lang w:eastAsia="ko-KR"/>
        </w:rPr>
        <w:t xml:space="preserve"> 2003.</w:t>
      </w:r>
    </w:p>
    <w:p w14:paraId="5C36C024" w14:textId="77777777" w:rsidR="00662737" w:rsidRPr="004527F9" w:rsidRDefault="00662737">
      <w:pPr>
        <w:pStyle w:val="References"/>
        <w:numPr>
          <w:ilvl w:val="0"/>
          <w:numId w:val="0"/>
        </w:numPr>
        <w:rPr>
          <w:rFonts w:eastAsia="맑은 고딕"/>
          <w:szCs w:val="22"/>
          <w:lang w:eastAsia="ko-KR"/>
        </w:rPr>
      </w:pPr>
    </w:p>
    <w:sectPr w:rsidR="00662737" w:rsidRPr="004527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F24C4" w14:textId="77777777" w:rsidR="00B65A75" w:rsidRDefault="00B65A75" w:rsidP="00CB15B0">
      <w:pPr>
        <w:spacing w:before="0" w:after="0" w:line="240" w:lineRule="auto"/>
      </w:pPr>
      <w:r>
        <w:separator/>
      </w:r>
    </w:p>
  </w:endnote>
  <w:endnote w:type="continuationSeparator" w:id="0">
    <w:p w14:paraId="076F2327" w14:textId="77777777" w:rsidR="00B65A75" w:rsidRDefault="00B65A7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E6E95" w14:textId="77777777" w:rsidR="00B65A75" w:rsidRDefault="00B65A75" w:rsidP="00CB15B0">
      <w:pPr>
        <w:spacing w:before="0" w:after="0" w:line="240" w:lineRule="auto"/>
      </w:pPr>
      <w:r>
        <w:separator/>
      </w:r>
    </w:p>
  </w:footnote>
  <w:footnote w:type="continuationSeparator" w:id="0">
    <w:p w14:paraId="0776A103" w14:textId="77777777" w:rsidR="00B65A75" w:rsidRDefault="00B65A7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BD0AA1"/>
    <w:multiLevelType w:val="hybridMultilevel"/>
    <w:tmpl w:val="4768CD24"/>
    <w:lvl w:ilvl="0" w:tplc="75E4120E">
      <w:start w:val="1"/>
      <w:numFmt w:val="decimal"/>
      <w:lvlText w:val="%1."/>
      <w:lvlJc w:val="left"/>
      <w:pPr>
        <w:ind w:left="760" w:hanging="360"/>
      </w:pPr>
      <w:rPr>
        <w:rFonts w:ascii="Times New Roman" w:hAnsi="Times New Roman" w:cs="Times New Roman"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E91A99"/>
    <w:multiLevelType w:val="hybridMultilevel"/>
    <w:tmpl w:val="96CA4FB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0CCD3589"/>
    <w:multiLevelType w:val="hybridMultilevel"/>
    <w:tmpl w:val="34BC77CE"/>
    <w:lvl w:ilvl="0" w:tplc="09D6AC56">
      <w:start w:val="1"/>
      <w:numFmt w:val="decimal"/>
      <w:lvlText w:val="%1."/>
      <w:lvlJc w:val="left"/>
      <w:pPr>
        <w:ind w:left="760" w:hanging="360"/>
      </w:pPr>
      <w:rPr>
        <w:rFonts w:ascii="Times New Roman" w:hAnsi="Times New Roman" w:cs="Times New Roman" w:hint="default"/>
        <w:b/>
        <w:i/>
      </w:rPr>
    </w:lvl>
    <w:lvl w:ilvl="1" w:tplc="5D8E8C54">
      <w:start w:val="1"/>
      <w:numFmt w:val="upperLetter"/>
      <w:lvlText w:val="%2."/>
      <w:lvlJc w:val="left"/>
      <w:pPr>
        <w:ind w:left="1200" w:hanging="400"/>
      </w:pPr>
      <w:rPr>
        <w:rFonts w:ascii="Times New Roman" w:hAnsi="Times New Roman" w:cs="Times New Roman" w:hint="default"/>
        <w:b/>
        <w:i/>
      </w:rPr>
    </w:lvl>
    <w:lvl w:ilvl="2" w:tplc="76A0550C">
      <w:start w:val="1"/>
      <w:numFmt w:val="lowerRoman"/>
      <w:lvlText w:val="%3."/>
      <w:lvlJc w:val="right"/>
      <w:pPr>
        <w:ind w:left="1600" w:hanging="400"/>
      </w:pPr>
      <w:rPr>
        <w:b/>
        <w:i/>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5130A51"/>
    <w:multiLevelType w:val="hybridMultilevel"/>
    <w:tmpl w:val="0C4AE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8AE5832"/>
    <w:multiLevelType w:val="hybridMultilevel"/>
    <w:tmpl w:val="A5FC6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0220E03"/>
    <w:multiLevelType w:val="hybridMultilevel"/>
    <w:tmpl w:val="ECEA5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517A97"/>
    <w:multiLevelType w:val="hybridMultilevel"/>
    <w:tmpl w:val="7A9045B8"/>
    <w:lvl w:ilvl="0" w:tplc="76A0550C">
      <w:start w:val="1"/>
      <w:numFmt w:val="lowerRoman"/>
      <w:lvlText w:val="%1."/>
      <w:lvlJc w:val="right"/>
      <w:pPr>
        <w:ind w:left="1600" w:hanging="400"/>
      </w:pPr>
      <w:rPr>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CB2104"/>
    <w:multiLevelType w:val="hybridMultilevel"/>
    <w:tmpl w:val="4768CD24"/>
    <w:lvl w:ilvl="0" w:tplc="75E4120E">
      <w:start w:val="1"/>
      <w:numFmt w:val="decimal"/>
      <w:lvlText w:val="%1."/>
      <w:lvlJc w:val="left"/>
      <w:pPr>
        <w:ind w:left="760" w:hanging="360"/>
      </w:pPr>
      <w:rPr>
        <w:rFonts w:ascii="Times New Roman" w:hAnsi="Times New Roman" w:cs="Times New Roman"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C713D4"/>
    <w:multiLevelType w:val="hybridMultilevel"/>
    <w:tmpl w:val="7DAC9E0E"/>
    <w:lvl w:ilvl="0" w:tplc="8EB66C74">
      <w:start w:val="1"/>
      <w:numFmt w:val="bullet"/>
      <w:lvlText w:val="•"/>
      <w:lvlJc w:val="left"/>
      <w:pPr>
        <w:ind w:left="800" w:hanging="400"/>
      </w:pPr>
      <w:rPr>
        <w:rFonts w:ascii="Arial" w:hAnsi="Arial" w:hint="default"/>
      </w:rPr>
    </w:lvl>
    <w:lvl w:ilvl="1" w:tplc="83802386">
      <w:start w:val="1"/>
      <w:numFmt w:val="bullet"/>
      <w:lvlText w:val="-"/>
      <w:lvlJc w:val="left"/>
      <w:pPr>
        <w:ind w:left="1200" w:hanging="400"/>
      </w:pPr>
      <w:rPr>
        <w:rFonts w:ascii="Verdana" w:hAnsi="Verdan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F06331B"/>
    <w:multiLevelType w:val="hybridMultilevel"/>
    <w:tmpl w:val="C76C2B8A"/>
    <w:lvl w:ilvl="0" w:tplc="081679DE">
      <w:start w:val="1"/>
      <w:numFmt w:val="lowerRoman"/>
      <w:lvlText w:val="%1."/>
      <w:lvlJc w:val="left"/>
      <w:pPr>
        <w:ind w:left="1120" w:hanging="72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FF6358A"/>
    <w:multiLevelType w:val="hybridMultilevel"/>
    <w:tmpl w:val="4768CD24"/>
    <w:lvl w:ilvl="0" w:tplc="75E4120E">
      <w:start w:val="1"/>
      <w:numFmt w:val="decimal"/>
      <w:lvlText w:val="%1."/>
      <w:lvlJc w:val="left"/>
      <w:pPr>
        <w:ind w:left="760" w:hanging="360"/>
      </w:pPr>
      <w:rPr>
        <w:rFonts w:ascii="Times New Roman" w:hAnsi="Times New Roman" w:cs="Times New Roman"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1361AB"/>
    <w:multiLevelType w:val="hybridMultilevel"/>
    <w:tmpl w:val="33802C02"/>
    <w:lvl w:ilvl="0" w:tplc="5D8E8C54">
      <w:start w:val="1"/>
      <w:numFmt w:val="upperLetter"/>
      <w:lvlText w:val="%1."/>
      <w:lvlJc w:val="left"/>
      <w:pPr>
        <w:ind w:left="1200" w:hanging="400"/>
      </w:pPr>
      <w:rPr>
        <w:rFonts w:ascii="Times New Roman" w:hAnsi="Times New Roman" w:cs="Times New Roman" w:hint="default"/>
        <w:b/>
        <w:i/>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6"/>
  </w:num>
  <w:num w:numId="3">
    <w:abstractNumId w:val="0"/>
  </w:num>
  <w:num w:numId="4">
    <w:abstractNumId w:val="7"/>
  </w:num>
  <w:num w:numId="5">
    <w:abstractNumId w:val="5"/>
  </w:num>
  <w:num w:numId="6">
    <w:abstractNumId w:val="12"/>
  </w:num>
  <w:num w:numId="7">
    <w:abstractNumId w:val="11"/>
  </w:num>
  <w:num w:numId="8">
    <w:abstractNumId w:val="2"/>
  </w:num>
  <w:num w:numId="9">
    <w:abstractNumId w:val="8"/>
  </w:num>
  <w:num w:numId="10">
    <w:abstractNumId w:val="4"/>
  </w:num>
  <w:num w:numId="11">
    <w:abstractNumId w:val="6"/>
  </w:num>
  <w:num w:numId="12">
    <w:abstractNumId w:val="1"/>
  </w:num>
  <w:num w:numId="13">
    <w:abstractNumId w:val="14"/>
  </w:num>
  <w:num w:numId="14">
    <w:abstractNumId w:val="3"/>
  </w:num>
  <w:num w:numId="15">
    <w:abstractNumId w:val="10"/>
  </w:num>
  <w:num w:numId="16">
    <w:abstractNumId w:val="15"/>
  </w:num>
  <w:num w:numId="17">
    <w:abstractNumId w:val="9"/>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D"/>
    <w:rsid w:val="00001095"/>
    <w:rsid w:val="000011A9"/>
    <w:rsid w:val="00001EA2"/>
    <w:rsid w:val="00002ADB"/>
    <w:rsid w:val="00002E3E"/>
    <w:rsid w:val="00005297"/>
    <w:rsid w:val="00005320"/>
    <w:rsid w:val="0000576B"/>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943"/>
    <w:rsid w:val="00020F2B"/>
    <w:rsid w:val="000219C9"/>
    <w:rsid w:val="00021CF8"/>
    <w:rsid w:val="00022077"/>
    <w:rsid w:val="0002220F"/>
    <w:rsid w:val="0002271F"/>
    <w:rsid w:val="000227D0"/>
    <w:rsid w:val="00022CB1"/>
    <w:rsid w:val="000234FA"/>
    <w:rsid w:val="00023F18"/>
    <w:rsid w:val="000250AE"/>
    <w:rsid w:val="00025352"/>
    <w:rsid w:val="0002542F"/>
    <w:rsid w:val="00025969"/>
    <w:rsid w:val="00025ADD"/>
    <w:rsid w:val="000262DF"/>
    <w:rsid w:val="000267E8"/>
    <w:rsid w:val="00026B5A"/>
    <w:rsid w:val="00027156"/>
    <w:rsid w:val="00027717"/>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794"/>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877"/>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D6"/>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8A2"/>
    <w:rsid w:val="00062961"/>
    <w:rsid w:val="00062B06"/>
    <w:rsid w:val="00062FEA"/>
    <w:rsid w:val="0006322F"/>
    <w:rsid w:val="00063296"/>
    <w:rsid w:val="00063526"/>
    <w:rsid w:val="00063AF4"/>
    <w:rsid w:val="00064B4D"/>
    <w:rsid w:val="00065181"/>
    <w:rsid w:val="00065512"/>
    <w:rsid w:val="000655DF"/>
    <w:rsid w:val="000659C8"/>
    <w:rsid w:val="00065B5A"/>
    <w:rsid w:val="00065E80"/>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26E3"/>
    <w:rsid w:val="00073822"/>
    <w:rsid w:val="00074138"/>
    <w:rsid w:val="0007464A"/>
    <w:rsid w:val="00074B3A"/>
    <w:rsid w:val="000754C8"/>
    <w:rsid w:val="00075537"/>
    <w:rsid w:val="0007585A"/>
    <w:rsid w:val="00075CB2"/>
    <w:rsid w:val="00076035"/>
    <w:rsid w:val="00076B16"/>
    <w:rsid w:val="00076BBA"/>
    <w:rsid w:val="00076EAA"/>
    <w:rsid w:val="00077728"/>
    <w:rsid w:val="00077F49"/>
    <w:rsid w:val="00077FEF"/>
    <w:rsid w:val="0008005E"/>
    <w:rsid w:val="00080C36"/>
    <w:rsid w:val="00081CA2"/>
    <w:rsid w:val="00081EEA"/>
    <w:rsid w:val="00082161"/>
    <w:rsid w:val="000825F7"/>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59E2"/>
    <w:rsid w:val="000D622F"/>
    <w:rsid w:val="000D6C08"/>
    <w:rsid w:val="000D6C45"/>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3B72"/>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24C"/>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3DD"/>
    <w:rsid w:val="00125F56"/>
    <w:rsid w:val="00125FB5"/>
    <w:rsid w:val="00126B25"/>
    <w:rsid w:val="00126EB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11AD"/>
    <w:rsid w:val="001425E4"/>
    <w:rsid w:val="00142807"/>
    <w:rsid w:val="00142BDA"/>
    <w:rsid w:val="001431C7"/>
    <w:rsid w:val="00143716"/>
    <w:rsid w:val="00143C78"/>
    <w:rsid w:val="00144494"/>
    <w:rsid w:val="00144525"/>
    <w:rsid w:val="00144C30"/>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08FB"/>
    <w:rsid w:val="00170F57"/>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2AB5"/>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97DA2"/>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1F9"/>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E7DDC"/>
    <w:rsid w:val="001F0418"/>
    <w:rsid w:val="001F0D2A"/>
    <w:rsid w:val="001F0DE7"/>
    <w:rsid w:val="001F16C9"/>
    <w:rsid w:val="001F17F5"/>
    <w:rsid w:val="001F1E2B"/>
    <w:rsid w:val="001F21C6"/>
    <w:rsid w:val="001F2210"/>
    <w:rsid w:val="001F29D4"/>
    <w:rsid w:val="001F2A5F"/>
    <w:rsid w:val="001F2C1A"/>
    <w:rsid w:val="001F32A6"/>
    <w:rsid w:val="001F352A"/>
    <w:rsid w:val="001F3D64"/>
    <w:rsid w:val="001F3E60"/>
    <w:rsid w:val="001F47D1"/>
    <w:rsid w:val="001F4F3C"/>
    <w:rsid w:val="001F512E"/>
    <w:rsid w:val="001F7267"/>
    <w:rsid w:val="001F76E8"/>
    <w:rsid w:val="001F7CE9"/>
    <w:rsid w:val="001F7E24"/>
    <w:rsid w:val="001F7F8A"/>
    <w:rsid w:val="00200B34"/>
    <w:rsid w:val="00200CC6"/>
    <w:rsid w:val="00200D43"/>
    <w:rsid w:val="0020100E"/>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804"/>
    <w:rsid w:val="00212B7C"/>
    <w:rsid w:val="00212BD9"/>
    <w:rsid w:val="00213636"/>
    <w:rsid w:val="00213EEA"/>
    <w:rsid w:val="00213F16"/>
    <w:rsid w:val="00214628"/>
    <w:rsid w:val="00214D71"/>
    <w:rsid w:val="0021511E"/>
    <w:rsid w:val="00215471"/>
    <w:rsid w:val="0021557B"/>
    <w:rsid w:val="00215BD0"/>
    <w:rsid w:val="00215DE5"/>
    <w:rsid w:val="0021600A"/>
    <w:rsid w:val="00216F54"/>
    <w:rsid w:val="00217441"/>
    <w:rsid w:val="002177EA"/>
    <w:rsid w:val="002200D6"/>
    <w:rsid w:val="002205BC"/>
    <w:rsid w:val="00221698"/>
    <w:rsid w:val="0022191A"/>
    <w:rsid w:val="00221D49"/>
    <w:rsid w:val="00222D74"/>
    <w:rsid w:val="0022306B"/>
    <w:rsid w:val="00223154"/>
    <w:rsid w:val="002235B7"/>
    <w:rsid w:val="002236E6"/>
    <w:rsid w:val="002239E4"/>
    <w:rsid w:val="00223FBF"/>
    <w:rsid w:val="00224627"/>
    <w:rsid w:val="00224C90"/>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C96"/>
    <w:rsid w:val="00250E9D"/>
    <w:rsid w:val="00252041"/>
    <w:rsid w:val="002520CB"/>
    <w:rsid w:val="00252293"/>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4BC8"/>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A7B50"/>
    <w:rsid w:val="002B1266"/>
    <w:rsid w:val="002B1420"/>
    <w:rsid w:val="002B1AC9"/>
    <w:rsid w:val="002B1BA8"/>
    <w:rsid w:val="002B1F9B"/>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CD8"/>
    <w:rsid w:val="002C0E3A"/>
    <w:rsid w:val="002C12E5"/>
    <w:rsid w:val="002C152D"/>
    <w:rsid w:val="002C1549"/>
    <w:rsid w:val="002C157F"/>
    <w:rsid w:val="002C1633"/>
    <w:rsid w:val="002C165C"/>
    <w:rsid w:val="002C1A24"/>
    <w:rsid w:val="002C1F21"/>
    <w:rsid w:val="002C27F9"/>
    <w:rsid w:val="002C2C77"/>
    <w:rsid w:val="002C38A7"/>
    <w:rsid w:val="002C38BE"/>
    <w:rsid w:val="002C3D3F"/>
    <w:rsid w:val="002C44E8"/>
    <w:rsid w:val="002C4A07"/>
    <w:rsid w:val="002C4F36"/>
    <w:rsid w:val="002C51FE"/>
    <w:rsid w:val="002C584D"/>
    <w:rsid w:val="002C5935"/>
    <w:rsid w:val="002C67F8"/>
    <w:rsid w:val="002C6AC2"/>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7BF"/>
    <w:rsid w:val="002D4826"/>
    <w:rsid w:val="002D5808"/>
    <w:rsid w:val="002D5CD8"/>
    <w:rsid w:val="002D5E07"/>
    <w:rsid w:val="002D5FF5"/>
    <w:rsid w:val="002D649F"/>
    <w:rsid w:val="002D64B9"/>
    <w:rsid w:val="002D6841"/>
    <w:rsid w:val="002D7449"/>
    <w:rsid w:val="002D7AE1"/>
    <w:rsid w:val="002D7CA3"/>
    <w:rsid w:val="002E0746"/>
    <w:rsid w:val="002E08AD"/>
    <w:rsid w:val="002E08BC"/>
    <w:rsid w:val="002E0BC1"/>
    <w:rsid w:val="002E220D"/>
    <w:rsid w:val="002E244F"/>
    <w:rsid w:val="002E3296"/>
    <w:rsid w:val="002E3AE2"/>
    <w:rsid w:val="002E421E"/>
    <w:rsid w:val="002E5163"/>
    <w:rsid w:val="002E5209"/>
    <w:rsid w:val="002E5304"/>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1B0B"/>
    <w:rsid w:val="002F2478"/>
    <w:rsid w:val="002F2A6C"/>
    <w:rsid w:val="002F2ED4"/>
    <w:rsid w:val="002F2F99"/>
    <w:rsid w:val="002F3707"/>
    <w:rsid w:val="002F3A5B"/>
    <w:rsid w:val="002F3AB8"/>
    <w:rsid w:val="002F3AC7"/>
    <w:rsid w:val="002F3EE0"/>
    <w:rsid w:val="002F4538"/>
    <w:rsid w:val="002F488B"/>
    <w:rsid w:val="002F515F"/>
    <w:rsid w:val="002F5CC1"/>
    <w:rsid w:val="002F601C"/>
    <w:rsid w:val="002F6070"/>
    <w:rsid w:val="002F6EED"/>
    <w:rsid w:val="002F73E7"/>
    <w:rsid w:val="002F74F1"/>
    <w:rsid w:val="002F75F3"/>
    <w:rsid w:val="003010D2"/>
    <w:rsid w:val="0030152D"/>
    <w:rsid w:val="003017A2"/>
    <w:rsid w:val="0030186C"/>
    <w:rsid w:val="00301ABF"/>
    <w:rsid w:val="00301AFD"/>
    <w:rsid w:val="003025BD"/>
    <w:rsid w:val="00302A7D"/>
    <w:rsid w:val="00303996"/>
    <w:rsid w:val="00304146"/>
    <w:rsid w:val="00304BCD"/>
    <w:rsid w:val="00304DFD"/>
    <w:rsid w:val="00304F18"/>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C89"/>
    <w:rsid w:val="00313FFA"/>
    <w:rsid w:val="0031487E"/>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DCD"/>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6ED"/>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9DD"/>
    <w:rsid w:val="00337E31"/>
    <w:rsid w:val="00337EE5"/>
    <w:rsid w:val="0034008E"/>
    <w:rsid w:val="0034011F"/>
    <w:rsid w:val="00340AB1"/>
    <w:rsid w:val="0034227B"/>
    <w:rsid w:val="003426D1"/>
    <w:rsid w:val="00343634"/>
    <w:rsid w:val="00343736"/>
    <w:rsid w:val="0034389D"/>
    <w:rsid w:val="00344343"/>
    <w:rsid w:val="00344865"/>
    <w:rsid w:val="00344BDF"/>
    <w:rsid w:val="00344DDC"/>
    <w:rsid w:val="00345357"/>
    <w:rsid w:val="003453D1"/>
    <w:rsid w:val="003460EA"/>
    <w:rsid w:val="003461D0"/>
    <w:rsid w:val="00347673"/>
    <w:rsid w:val="003502AB"/>
    <w:rsid w:val="00351417"/>
    <w:rsid w:val="0035141E"/>
    <w:rsid w:val="00351965"/>
    <w:rsid w:val="003519F4"/>
    <w:rsid w:val="00351B34"/>
    <w:rsid w:val="00351CB1"/>
    <w:rsid w:val="00351FB9"/>
    <w:rsid w:val="0035227E"/>
    <w:rsid w:val="0035262F"/>
    <w:rsid w:val="00352ABB"/>
    <w:rsid w:val="00352CCE"/>
    <w:rsid w:val="00352F9B"/>
    <w:rsid w:val="00353480"/>
    <w:rsid w:val="003535CF"/>
    <w:rsid w:val="003535FF"/>
    <w:rsid w:val="00353714"/>
    <w:rsid w:val="00353A69"/>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6770"/>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0F3"/>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27"/>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B0F"/>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904"/>
    <w:rsid w:val="003D6F7E"/>
    <w:rsid w:val="003D7DB8"/>
    <w:rsid w:val="003D7DDC"/>
    <w:rsid w:val="003D7F5C"/>
    <w:rsid w:val="003E05DE"/>
    <w:rsid w:val="003E0627"/>
    <w:rsid w:val="003E0F5B"/>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805"/>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6D5"/>
    <w:rsid w:val="00410227"/>
    <w:rsid w:val="0041028D"/>
    <w:rsid w:val="004106C8"/>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006"/>
    <w:rsid w:val="00431169"/>
    <w:rsid w:val="0043121D"/>
    <w:rsid w:val="004314BF"/>
    <w:rsid w:val="004315D1"/>
    <w:rsid w:val="00431640"/>
    <w:rsid w:val="00431664"/>
    <w:rsid w:val="004321BF"/>
    <w:rsid w:val="00432222"/>
    <w:rsid w:val="004322CE"/>
    <w:rsid w:val="004327FE"/>
    <w:rsid w:val="004328BA"/>
    <w:rsid w:val="00432E3F"/>
    <w:rsid w:val="00433573"/>
    <w:rsid w:val="00433624"/>
    <w:rsid w:val="00433B53"/>
    <w:rsid w:val="004341A8"/>
    <w:rsid w:val="00435319"/>
    <w:rsid w:val="00435C70"/>
    <w:rsid w:val="00435FCB"/>
    <w:rsid w:val="004360D2"/>
    <w:rsid w:val="00436431"/>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7F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ED9"/>
    <w:rsid w:val="00463F1C"/>
    <w:rsid w:val="0046456F"/>
    <w:rsid w:val="004645ED"/>
    <w:rsid w:val="00464E4F"/>
    <w:rsid w:val="00465834"/>
    <w:rsid w:val="00465AB9"/>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7086"/>
    <w:rsid w:val="004971B2"/>
    <w:rsid w:val="0049735B"/>
    <w:rsid w:val="0049748C"/>
    <w:rsid w:val="00497A67"/>
    <w:rsid w:val="004A02E3"/>
    <w:rsid w:val="004A030E"/>
    <w:rsid w:val="004A041F"/>
    <w:rsid w:val="004A043F"/>
    <w:rsid w:val="004A1340"/>
    <w:rsid w:val="004A1387"/>
    <w:rsid w:val="004A14C5"/>
    <w:rsid w:val="004A1EA1"/>
    <w:rsid w:val="004A2956"/>
    <w:rsid w:val="004A36BE"/>
    <w:rsid w:val="004A376F"/>
    <w:rsid w:val="004A47EF"/>
    <w:rsid w:val="004A4DAC"/>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98"/>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67"/>
    <w:rsid w:val="004D24B1"/>
    <w:rsid w:val="004D31E1"/>
    <w:rsid w:val="004D34D5"/>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2F81"/>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DC2"/>
    <w:rsid w:val="00501EC9"/>
    <w:rsid w:val="00502926"/>
    <w:rsid w:val="00504CB4"/>
    <w:rsid w:val="00505095"/>
    <w:rsid w:val="0050528B"/>
    <w:rsid w:val="00505486"/>
    <w:rsid w:val="005055B4"/>
    <w:rsid w:val="00506011"/>
    <w:rsid w:val="00506024"/>
    <w:rsid w:val="00506077"/>
    <w:rsid w:val="005064DB"/>
    <w:rsid w:val="00506741"/>
    <w:rsid w:val="00506858"/>
    <w:rsid w:val="00506C41"/>
    <w:rsid w:val="0050753C"/>
    <w:rsid w:val="005078D5"/>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4DE0"/>
    <w:rsid w:val="00525AB0"/>
    <w:rsid w:val="00525E6C"/>
    <w:rsid w:val="00526073"/>
    <w:rsid w:val="00526551"/>
    <w:rsid w:val="00526914"/>
    <w:rsid w:val="00526B55"/>
    <w:rsid w:val="0052705B"/>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915"/>
    <w:rsid w:val="00534A0F"/>
    <w:rsid w:val="00534A65"/>
    <w:rsid w:val="00535229"/>
    <w:rsid w:val="005355AC"/>
    <w:rsid w:val="0053579B"/>
    <w:rsid w:val="00535EF0"/>
    <w:rsid w:val="0053631B"/>
    <w:rsid w:val="005365F1"/>
    <w:rsid w:val="00536A3E"/>
    <w:rsid w:val="00536AD4"/>
    <w:rsid w:val="005377C9"/>
    <w:rsid w:val="0053783C"/>
    <w:rsid w:val="00537CB6"/>
    <w:rsid w:val="0054038A"/>
    <w:rsid w:val="005408BA"/>
    <w:rsid w:val="005409B9"/>
    <w:rsid w:val="00540A6C"/>
    <w:rsid w:val="00540C3C"/>
    <w:rsid w:val="00540E48"/>
    <w:rsid w:val="00542119"/>
    <w:rsid w:val="005422AE"/>
    <w:rsid w:val="00542455"/>
    <w:rsid w:val="0054332B"/>
    <w:rsid w:val="0054345E"/>
    <w:rsid w:val="00543928"/>
    <w:rsid w:val="005447A5"/>
    <w:rsid w:val="00544BA5"/>
    <w:rsid w:val="00544E07"/>
    <w:rsid w:val="00545132"/>
    <w:rsid w:val="00545344"/>
    <w:rsid w:val="0054571C"/>
    <w:rsid w:val="005458B0"/>
    <w:rsid w:val="0054626D"/>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051"/>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157"/>
    <w:rsid w:val="00574CF3"/>
    <w:rsid w:val="00574E5A"/>
    <w:rsid w:val="00575092"/>
    <w:rsid w:val="00575C40"/>
    <w:rsid w:val="005775A7"/>
    <w:rsid w:val="00577645"/>
    <w:rsid w:val="0057771F"/>
    <w:rsid w:val="0057798F"/>
    <w:rsid w:val="00580A2B"/>
    <w:rsid w:val="00580B01"/>
    <w:rsid w:val="00580D5F"/>
    <w:rsid w:val="00580DAD"/>
    <w:rsid w:val="00581377"/>
    <w:rsid w:val="00581934"/>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A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8B3"/>
    <w:rsid w:val="005A1BF1"/>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388"/>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B87"/>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82A"/>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24B"/>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3E12"/>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0E81"/>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16"/>
    <w:rsid w:val="00632BCC"/>
    <w:rsid w:val="00632D2C"/>
    <w:rsid w:val="00633EE9"/>
    <w:rsid w:val="00634235"/>
    <w:rsid w:val="00634570"/>
    <w:rsid w:val="00634726"/>
    <w:rsid w:val="00634AD6"/>
    <w:rsid w:val="00634E33"/>
    <w:rsid w:val="00634EB5"/>
    <w:rsid w:val="00634FDA"/>
    <w:rsid w:val="00635875"/>
    <w:rsid w:val="00635959"/>
    <w:rsid w:val="006359E8"/>
    <w:rsid w:val="00635AC9"/>
    <w:rsid w:val="00635DF2"/>
    <w:rsid w:val="006360AD"/>
    <w:rsid w:val="0063666D"/>
    <w:rsid w:val="0063696E"/>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24B"/>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61"/>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2A4"/>
    <w:rsid w:val="006A7472"/>
    <w:rsid w:val="006A747C"/>
    <w:rsid w:val="006A7BD3"/>
    <w:rsid w:val="006B008A"/>
    <w:rsid w:val="006B042A"/>
    <w:rsid w:val="006B09C2"/>
    <w:rsid w:val="006B0F77"/>
    <w:rsid w:val="006B0F93"/>
    <w:rsid w:val="006B1AF0"/>
    <w:rsid w:val="006B26B6"/>
    <w:rsid w:val="006B2833"/>
    <w:rsid w:val="006B2AC5"/>
    <w:rsid w:val="006B2C7D"/>
    <w:rsid w:val="006B3426"/>
    <w:rsid w:val="006B3C1E"/>
    <w:rsid w:val="006B3E7A"/>
    <w:rsid w:val="006B4158"/>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871"/>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17651"/>
    <w:rsid w:val="00717E80"/>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3D2C"/>
    <w:rsid w:val="00734531"/>
    <w:rsid w:val="00734B22"/>
    <w:rsid w:val="00735159"/>
    <w:rsid w:val="007359D2"/>
    <w:rsid w:val="00735A6C"/>
    <w:rsid w:val="00735C16"/>
    <w:rsid w:val="00735F7B"/>
    <w:rsid w:val="007360DD"/>
    <w:rsid w:val="00736376"/>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19B7"/>
    <w:rsid w:val="0075220A"/>
    <w:rsid w:val="007523FC"/>
    <w:rsid w:val="007526D8"/>
    <w:rsid w:val="00752A0D"/>
    <w:rsid w:val="00752B94"/>
    <w:rsid w:val="00752F7F"/>
    <w:rsid w:val="0075380E"/>
    <w:rsid w:val="00753D54"/>
    <w:rsid w:val="00753DFC"/>
    <w:rsid w:val="00754768"/>
    <w:rsid w:val="007554C6"/>
    <w:rsid w:val="0075572F"/>
    <w:rsid w:val="007557EB"/>
    <w:rsid w:val="00755DA4"/>
    <w:rsid w:val="007560D5"/>
    <w:rsid w:val="00756F1E"/>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2D"/>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2F8"/>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9C1"/>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19"/>
    <w:rsid w:val="00794460"/>
    <w:rsid w:val="007954F6"/>
    <w:rsid w:val="00795C14"/>
    <w:rsid w:val="007973FD"/>
    <w:rsid w:val="007973FF"/>
    <w:rsid w:val="007A0209"/>
    <w:rsid w:val="007A0BD8"/>
    <w:rsid w:val="007A11B2"/>
    <w:rsid w:val="007A129F"/>
    <w:rsid w:val="007A132F"/>
    <w:rsid w:val="007A13DB"/>
    <w:rsid w:val="007A23D4"/>
    <w:rsid w:val="007A2527"/>
    <w:rsid w:val="007A3166"/>
    <w:rsid w:val="007A33BF"/>
    <w:rsid w:val="007A36BD"/>
    <w:rsid w:val="007A4648"/>
    <w:rsid w:val="007A4761"/>
    <w:rsid w:val="007A4A2D"/>
    <w:rsid w:val="007A5694"/>
    <w:rsid w:val="007A5747"/>
    <w:rsid w:val="007A5966"/>
    <w:rsid w:val="007A5987"/>
    <w:rsid w:val="007A5C1F"/>
    <w:rsid w:val="007A6558"/>
    <w:rsid w:val="007A69E7"/>
    <w:rsid w:val="007A6ABF"/>
    <w:rsid w:val="007A75A0"/>
    <w:rsid w:val="007A79B5"/>
    <w:rsid w:val="007A7E45"/>
    <w:rsid w:val="007A7E98"/>
    <w:rsid w:val="007A7F71"/>
    <w:rsid w:val="007B00A8"/>
    <w:rsid w:val="007B07B6"/>
    <w:rsid w:val="007B0A7F"/>
    <w:rsid w:val="007B0B17"/>
    <w:rsid w:val="007B1103"/>
    <w:rsid w:val="007B17B0"/>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F39"/>
    <w:rsid w:val="007D0272"/>
    <w:rsid w:val="007D09D3"/>
    <w:rsid w:val="007D1698"/>
    <w:rsid w:val="007D26D9"/>
    <w:rsid w:val="007D2A4C"/>
    <w:rsid w:val="007D332D"/>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EA7"/>
    <w:rsid w:val="007E3F7C"/>
    <w:rsid w:val="007E3FB3"/>
    <w:rsid w:val="007E4038"/>
    <w:rsid w:val="007E4185"/>
    <w:rsid w:val="007E43C6"/>
    <w:rsid w:val="007E45B5"/>
    <w:rsid w:val="007E45F1"/>
    <w:rsid w:val="007E485C"/>
    <w:rsid w:val="007E4AC3"/>
    <w:rsid w:val="007E4B05"/>
    <w:rsid w:val="007E4F11"/>
    <w:rsid w:val="007E55B3"/>
    <w:rsid w:val="007E58BF"/>
    <w:rsid w:val="007E69A7"/>
    <w:rsid w:val="007E6C72"/>
    <w:rsid w:val="007E78C1"/>
    <w:rsid w:val="007E78F3"/>
    <w:rsid w:val="007E7F00"/>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C9"/>
    <w:rsid w:val="007F5929"/>
    <w:rsid w:val="007F631F"/>
    <w:rsid w:val="007F6350"/>
    <w:rsid w:val="007F6C64"/>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137"/>
    <w:rsid w:val="008027CA"/>
    <w:rsid w:val="00802894"/>
    <w:rsid w:val="008039A1"/>
    <w:rsid w:val="00803AAC"/>
    <w:rsid w:val="00804153"/>
    <w:rsid w:val="00804275"/>
    <w:rsid w:val="008045CF"/>
    <w:rsid w:val="00804654"/>
    <w:rsid w:val="008048B6"/>
    <w:rsid w:val="00804C8C"/>
    <w:rsid w:val="00806379"/>
    <w:rsid w:val="008069DD"/>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68F"/>
    <w:rsid w:val="00820BCE"/>
    <w:rsid w:val="00821122"/>
    <w:rsid w:val="00821140"/>
    <w:rsid w:val="008213FC"/>
    <w:rsid w:val="00821FED"/>
    <w:rsid w:val="00822CF4"/>
    <w:rsid w:val="00825813"/>
    <w:rsid w:val="00825C4E"/>
    <w:rsid w:val="00826B13"/>
    <w:rsid w:val="00826B4C"/>
    <w:rsid w:val="00826BD9"/>
    <w:rsid w:val="00827ECB"/>
    <w:rsid w:val="00830209"/>
    <w:rsid w:val="0083055D"/>
    <w:rsid w:val="00830C72"/>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650B"/>
    <w:rsid w:val="0086779C"/>
    <w:rsid w:val="00867A18"/>
    <w:rsid w:val="00867A51"/>
    <w:rsid w:val="0087091E"/>
    <w:rsid w:val="00870F8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D79"/>
    <w:rsid w:val="00880E01"/>
    <w:rsid w:val="00881314"/>
    <w:rsid w:val="0088178B"/>
    <w:rsid w:val="00881A49"/>
    <w:rsid w:val="00882C97"/>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978FF"/>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3F5"/>
    <w:rsid w:val="008C44DA"/>
    <w:rsid w:val="008C49B5"/>
    <w:rsid w:val="008C4F19"/>
    <w:rsid w:val="008C4F5A"/>
    <w:rsid w:val="008C5073"/>
    <w:rsid w:val="008C5457"/>
    <w:rsid w:val="008C59CA"/>
    <w:rsid w:val="008C610B"/>
    <w:rsid w:val="008C636A"/>
    <w:rsid w:val="008C74B6"/>
    <w:rsid w:val="008C7645"/>
    <w:rsid w:val="008C79F2"/>
    <w:rsid w:val="008D06AD"/>
    <w:rsid w:val="008D0A3C"/>
    <w:rsid w:val="008D0A52"/>
    <w:rsid w:val="008D16CE"/>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2A95"/>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0A0"/>
    <w:rsid w:val="008F4A54"/>
    <w:rsid w:val="008F5107"/>
    <w:rsid w:val="008F5721"/>
    <w:rsid w:val="008F5CFF"/>
    <w:rsid w:val="008F651B"/>
    <w:rsid w:val="008F67D8"/>
    <w:rsid w:val="008F69A7"/>
    <w:rsid w:val="008F7270"/>
    <w:rsid w:val="008F7541"/>
    <w:rsid w:val="008F76BA"/>
    <w:rsid w:val="008F7CAE"/>
    <w:rsid w:val="008F7DCF"/>
    <w:rsid w:val="009001A0"/>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8AF"/>
    <w:rsid w:val="00924D7F"/>
    <w:rsid w:val="00924E52"/>
    <w:rsid w:val="00924FC9"/>
    <w:rsid w:val="00925041"/>
    <w:rsid w:val="00925372"/>
    <w:rsid w:val="009257B4"/>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856"/>
    <w:rsid w:val="00931DCB"/>
    <w:rsid w:val="009324EB"/>
    <w:rsid w:val="009329C4"/>
    <w:rsid w:val="0093312C"/>
    <w:rsid w:val="00933535"/>
    <w:rsid w:val="00933CDA"/>
    <w:rsid w:val="00933FFD"/>
    <w:rsid w:val="0093460C"/>
    <w:rsid w:val="00934869"/>
    <w:rsid w:val="00934E1A"/>
    <w:rsid w:val="00935386"/>
    <w:rsid w:val="00936D70"/>
    <w:rsid w:val="00936E9A"/>
    <w:rsid w:val="009377A9"/>
    <w:rsid w:val="00937E7E"/>
    <w:rsid w:val="00940282"/>
    <w:rsid w:val="00940972"/>
    <w:rsid w:val="00940988"/>
    <w:rsid w:val="00940AE2"/>
    <w:rsid w:val="009411CA"/>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57AD9"/>
    <w:rsid w:val="009600F7"/>
    <w:rsid w:val="00960B56"/>
    <w:rsid w:val="00960FB0"/>
    <w:rsid w:val="009617D5"/>
    <w:rsid w:val="00961DC4"/>
    <w:rsid w:val="00961F5E"/>
    <w:rsid w:val="00962603"/>
    <w:rsid w:val="00962BCF"/>
    <w:rsid w:val="00962D62"/>
    <w:rsid w:val="00963DEA"/>
    <w:rsid w:val="00963E42"/>
    <w:rsid w:val="00964486"/>
    <w:rsid w:val="00964678"/>
    <w:rsid w:val="00964C0B"/>
    <w:rsid w:val="00964E15"/>
    <w:rsid w:val="0096560A"/>
    <w:rsid w:val="0096603D"/>
    <w:rsid w:val="00966111"/>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F0C"/>
    <w:rsid w:val="009822F5"/>
    <w:rsid w:val="009829A6"/>
    <w:rsid w:val="0098352B"/>
    <w:rsid w:val="00983635"/>
    <w:rsid w:val="0098419C"/>
    <w:rsid w:val="00984280"/>
    <w:rsid w:val="0098432F"/>
    <w:rsid w:val="00984649"/>
    <w:rsid w:val="00984D51"/>
    <w:rsid w:val="00984DDC"/>
    <w:rsid w:val="00984ED1"/>
    <w:rsid w:val="00984FC2"/>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110"/>
    <w:rsid w:val="009A7260"/>
    <w:rsid w:val="009A74B4"/>
    <w:rsid w:val="009A7831"/>
    <w:rsid w:val="009A7B76"/>
    <w:rsid w:val="009A7CC6"/>
    <w:rsid w:val="009A7D0F"/>
    <w:rsid w:val="009B00BF"/>
    <w:rsid w:val="009B06F8"/>
    <w:rsid w:val="009B1670"/>
    <w:rsid w:val="009B194E"/>
    <w:rsid w:val="009B1B5B"/>
    <w:rsid w:val="009B1D92"/>
    <w:rsid w:val="009B2012"/>
    <w:rsid w:val="009B2073"/>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2E9"/>
    <w:rsid w:val="009C55E8"/>
    <w:rsid w:val="009C63CF"/>
    <w:rsid w:val="009C6BCD"/>
    <w:rsid w:val="009C723A"/>
    <w:rsid w:val="009C770D"/>
    <w:rsid w:val="009C7A68"/>
    <w:rsid w:val="009C7BBB"/>
    <w:rsid w:val="009D03A7"/>
    <w:rsid w:val="009D093F"/>
    <w:rsid w:val="009D0A22"/>
    <w:rsid w:val="009D0D2A"/>
    <w:rsid w:val="009D12D9"/>
    <w:rsid w:val="009D136B"/>
    <w:rsid w:val="009D16E5"/>
    <w:rsid w:val="009D18D2"/>
    <w:rsid w:val="009D2673"/>
    <w:rsid w:val="009D28A3"/>
    <w:rsid w:val="009D2C8C"/>
    <w:rsid w:val="009D3434"/>
    <w:rsid w:val="009D4470"/>
    <w:rsid w:val="009D4832"/>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127"/>
    <w:rsid w:val="009E7694"/>
    <w:rsid w:val="009F024C"/>
    <w:rsid w:val="009F0502"/>
    <w:rsid w:val="009F0B80"/>
    <w:rsid w:val="009F1103"/>
    <w:rsid w:val="009F166E"/>
    <w:rsid w:val="009F1702"/>
    <w:rsid w:val="009F1E45"/>
    <w:rsid w:val="009F34AD"/>
    <w:rsid w:val="009F3573"/>
    <w:rsid w:val="009F3E75"/>
    <w:rsid w:val="009F4894"/>
    <w:rsid w:val="009F4D84"/>
    <w:rsid w:val="009F4F26"/>
    <w:rsid w:val="009F5237"/>
    <w:rsid w:val="009F52BC"/>
    <w:rsid w:val="009F56F5"/>
    <w:rsid w:val="009F570D"/>
    <w:rsid w:val="009F5F94"/>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D6F"/>
    <w:rsid w:val="00A13EAC"/>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CF3"/>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3E9"/>
    <w:rsid w:val="00A47438"/>
    <w:rsid w:val="00A475A3"/>
    <w:rsid w:val="00A4770E"/>
    <w:rsid w:val="00A5037A"/>
    <w:rsid w:val="00A50505"/>
    <w:rsid w:val="00A514B7"/>
    <w:rsid w:val="00A51B57"/>
    <w:rsid w:val="00A52EDF"/>
    <w:rsid w:val="00A53770"/>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07BA"/>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5F3C"/>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39A"/>
    <w:rsid w:val="00A93A5C"/>
    <w:rsid w:val="00A94373"/>
    <w:rsid w:val="00A95F1E"/>
    <w:rsid w:val="00A961C3"/>
    <w:rsid w:val="00A96B00"/>
    <w:rsid w:val="00A96E49"/>
    <w:rsid w:val="00A97205"/>
    <w:rsid w:val="00A9772A"/>
    <w:rsid w:val="00AA0A2D"/>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2BA0"/>
    <w:rsid w:val="00AB3AA3"/>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5792"/>
    <w:rsid w:val="00AD6081"/>
    <w:rsid w:val="00AD6414"/>
    <w:rsid w:val="00AD6D42"/>
    <w:rsid w:val="00AD6E1C"/>
    <w:rsid w:val="00AD7186"/>
    <w:rsid w:val="00AD7724"/>
    <w:rsid w:val="00AD7727"/>
    <w:rsid w:val="00AD7A78"/>
    <w:rsid w:val="00AD7B46"/>
    <w:rsid w:val="00AD7CA4"/>
    <w:rsid w:val="00AE0185"/>
    <w:rsid w:val="00AE08E9"/>
    <w:rsid w:val="00AE106D"/>
    <w:rsid w:val="00AE1286"/>
    <w:rsid w:val="00AE14D5"/>
    <w:rsid w:val="00AE18DF"/>
    <w:rsid w:val="00AE1AE2"/>
    <w:rsid w:val="00AE1E70"/>
    <w:rsid w:val="00AE2D22"/>
    <w:rsid w:val="00AE31B5"/>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3F47"/>
    <w:rsid w:val="00AF5036"/>
    <w:rsid w:val="00AF52EA"/>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6D4A"/>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694"/>
    <w:rsid w:val="00B15A8B"/>
    <w:rsid w:val="00B15AEB"/>
    <w:rsid w:val="00B16935"/>
    <w:rsid w:val="00B16C40"/>
    <w:rsid w:val="00B16E92"/>
    <w:rsid w:val="00B1764A"/>
    <w:rsid w:val="00B1797A"/>
    <w:rsid w:val="00B2069C"/>
    <w:rsid w:val="00B20A16"/>
    <w:rsid w:val="00B21798"/>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A8E"/>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78A"/>
    <w:rsid w:val="00B32A9B"/>
    <w:rsid w:val="00B32B16"/>
    <w:rsid w:val="00B32E1E"/>
    <w:rsid w:val="00B332E5"/>
    <w:rsid w:val="00B33E80"/>
    <w:rsid w:val="00B33ED2"/>
    <w:rsid w:val="00B346CF"/>
    <w:rsid w:val="00B34945"/>
    <w:rsid w:val="00B34E59"/>
    <w:rsid w:val="00B34EFB"/>
    <w:rsid w:val="00B35542"/>
    <w:rsid w:val="00B35671"/>
    <w:rsid w:val="00B35F9E"/>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1B36"/>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143"/>
    <w:rsid w:val="00B56543"/>
    <w:rsid w:val="00B56A00"/>
    <w:rsid w:val="00B56B28"/>
    <w:rsid w:val="00B56C38"/>
    <w:rsid w:val="00B56D89"/>
    <w:rsid w:val="00B574BE"/>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A75"/>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B55"/>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0E52"/>
    <w:rsid w:val="00B81381"/>
    <w:rsid w:val="00B814CD"/>
    <w:rsid w:val="00B81589"/>
    <w:rsid w:val="00B8197A"/>
    <w:rsid w:val="00B81D5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5F67"/>
    <w:rsid w:val="00B97177"/>
    <w:rsid w:val="00B97397"/>
    <w:rsid w:val="00B97C1D"/>
    <w:rsid w:val="00B97CB4"/>
    <w:rsid w:val="00BA0506"/>
    <w:rsid w:val="00BA1384"/>
    <w:rsid w:val="00BA14F7"/>
    <w:rsid w:val="00BA16D5"/>
    <w:rsid w:val="00BA19A4"/>
    <w:rsid w:val="00BA27FD"/>
    <w:rsid w:val="00BA2D2D"/>
    <w:rsid w:val="00BA3CE7"/>
    <w:rsid w:val="00BA405D"/>
    <w:rsid w:val="00BA41F4"/>
    <w:rsid w:val="00BA4311"/>
    <w:rsid w:val="00BA4FEE"/>
    <w:rsid w:val="00BA578A"/>
    <w:rsid w:val="00BA5B97"/>
    <w:rsid w:val="00BA5C06"/>
    <w:rsid w:val="00BA5EF2"/>
    <w:rsid w:val="00BA6C33"/>
    <w:rsid w:val="00BA724E"/>
    <w:rsid w:val="00BA7481"/>
    <w:rsid w:val="00BA7E93"/>
    <w:rsid w:val="00BB00C0"/>
    <w:rsid w:val="00BB08FF"/>
    <w:rsid w:val="00BB10BD"/>
    <w:rsid w:val="00BB1175"/>
    <w:rsid w:val="00BB1251"/>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8E0"/>
    <w:rsid w:val="00BC2FCC"/>
    <w:rsid w:val="00BC31FB"/>
    <w:rsid w:val="00BC3393"/>
    <w:rsid w:val="00BC4B59"/>
    <w:rsid w:val="00BC4B65"/>
    <w:rsid w:val="00BC4F1F"/>
    <w:rsid w:val="00BC5098"/>
    <w:rsid w:val="00BC5720"/>
    <w:rsid w:val="00BC58C9"/>
    <w:rsid w:val="00BC615F"/>
    <w:rsid w:val="00BC6B4C"/>
    <w:rsid w:val="00BC722A"/>
    <w:rsid w:val="00BC7AD6"/>
    <w:rsid w:val="00BC7AF6"/>
    <w:rsid w:val="00BD02D2"/>
    <w:rsid w:val="00BD02F1"/>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26D"/>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5D65"/>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4F5"/>
    <w:rsid w:val="00C35B1E"/>
    <w:rsid w:val="00C35ED6"/>
    <w:rsid w:val="00C35F75"/>
    <w:rsid w:val="00C36475"/>
    <w:rsid w:val="00C36931"/>
    <w:rsid w:val="00C3711E"/>
    <w:rsid w:val="00C37596"/>
    <w:rsid w:val="00C37A3B"/>
    <w:rsid w:val="00C37FEA"/>
    <w:rsid w:val="00C404B0"/>
    <w:rsid w:val="00C4065A"/>
    <w:rsid w:val="00C40F36"/>
    <w:rsid w:val="00C41819"/>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6E89"/>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418"/>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B8F"/>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116"/>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1E3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09C"/>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0DE5"/>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6D51"/>
    <w:rsid w:val="00CF73CC"/>
    <w:rsid w:val="00CF7507"/>
    <w:rsid w:val="00CF7843"/>
    <w:rsid w:val="00CF7BC9"/>
    <w:rsid w:val="00CF7C01"/>
    <w:rsid w:val="00D00A91"/>
    <w:rsid w:val="00D016A5"/>
    <w:rsid w:val="00D0185B"/>
    <w:rsid w:val="00D01B89"/>
    <w:rsid w:val="00D02A6D"/>
    <w:rsid w:val="00D0337C"/>
    <w:rsid w:val="00D033C8"/>
    <w:rsid w:val="00D03E2C"/>
    <w:rsid w:val="00D0437D"/>
    <w:rsid w:val="00D044DF"/>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9C0"/>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681"/>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38"/>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28DF"/>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C4C"/>
    <w:rsid w:val="00D63DEC"/>
    <w:rsid w:val="00D64210"/>
    <w:rsid w:val="00D6471A"/>
    <w:rsid w:val="00D6538B"/>
    <w:rsid w:val="00D655FE"/>
    <w:rsid w:val="00D65782"/>
    <w:rsid w:val="00D657A7"/>
    <w:rsid w:val="00D65B60"/>
    <w:rsid w:val="00D6685C"/>
    <w:rsid w:val="00D67420"/>
    <w:rsid w:val="00D67522"/>
    <w:rsid w:val="00D675E2"/>
    <w:rsid w:val="00D679A0"/>
    <w:rsid w:val="00D7032F"/>
    <w:rsid w:val="00D707DA"/>
    <w:rsid w:val="00D70E8E"/>
    <w:rsid w:val="00D70FCC"/>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6EBF"/>
    <w:rsid w:val="00D872A8"/>
    <w:rsid w:val="00D8734A"/>
    <w:rsid w:val="00D8768A"/>
    <w:rsid w:val="00D90626"/>
    <w:rsid w:val="00D90A5C"/>
    <w:rsid w:val="00D90B3D"/>
    <w:rsid w:val="00D90E01"/>
    <w:rsid w:val="00D91118"/>
    <w:rsid w:val="00D914DD"/>
    <w:rsid w:val="00D92154"/>
    <w:rsid w:val="00D92164"/>
    <w:rsid w:val="00D9235D"/>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97805"/>
    <w:rsid w:val="00DA00F2"/>
    <w:rsid w:val="00DA0232"/>
    <w:rsid w:val="00DA023B"/>
    <w:rsid w:val="00DA0907"/>
    <w:rsid w:val="00DA179D"/>
    <w:rsid w:val="00DA1D27"/>
    <w:rsid w:val="00DA2143"/>
    <w:rsid w:val="00DA3D57"/>
    <w:rsid w:val="00DA448E"/>
    <w:rsid w:val="00DA48D2"/>
    <w:rsid w:val="00DA4981"/>
    <w:rsid w:val="00DA49D3"/>
    <w:rsid w:val="00DA4B26"/>
    <w:rsid w:val="00DA5610"/>
    <w:rsid w:val="00DA5A02"/>
    <w:rsid w:val="00DA5E43"/>
    <w:rsid w:val="00DA5EA2"/>
    <w:rsid w:val="00DA643C"/>
    <w:rsid w:val="00DA6812"/>
    <w:rsid w:val="00DA6D64"/>
    <w:rsid w:val="00DA6F55"/>
    <w:rsid w:val="00DA6F83"/>
    <w:rsid w:val="00DA7144"/>
    <w:rsid w:val="00DA7207"/>
    <w:rsid w:val="00DA79D6"/>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12C"/>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BD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3F48"/>
    <w:rsid w:val="00DF4655"/>
    <w:rsid w:val="00DF547C"/>
    <w:rsid w:val="00DF5518"/>
    <w:rsid w:val="00DF5792"/>
    <w:rsid w:val="00DF6A68"/>
    <w:rsid w:val="00DF72C2"/>
    <w:rsid w:val="00DF7B9D"/>
    <w:rsid w:val="00DF7C41"/>
    <w:rsid w:val="00E00366"/>
    <w:rsid w:val="00E007A5"/>
    <w:rsid w:val="00E00909"/>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3B2E"/>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070"/>
    <w:rsid w:val="00E3260A"/>
    <w:rsid w:val="00E33264"/>
    <w:rsid w:val="00E3339D"/>
    <w:rsid w:val="00E337F8"/>
    <w:rsid w:val="00E33B42"/>
    <w:rsid w:val="00E33E6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143"/>
    <w:rsid w:val="00E455FA"/>
    <w:rsid w:val="00E461BB"/>
    <w:rsid w:val="00E4644A"/>
    <w:rsid w:val="00E47DDF"/>
    <w:rsid w:val="00E47FC2"/>
    <w:rsid w:val="00E500F9"/>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BC1"/>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7F2"/>
    <w:rsid w:val="00E90971"/>
    <w:rsid w:val="00E914FE"/>
    <w:rsid w:val="00E91DF1"/>
    <w:rsid w:val="00E920E7"/>
    <w:rsid w:val="00E9247C"/>
    <w:rsid w:val="00E92C2C"/>
    <w:rsid w:val="00E92E62"/>
    <w:rsid w:val="00E92E84"/>
    <w:rsid w:val="00E93253"/>
    <w:rsid w:val="00E9350D"/>
    <w:rsid w:val="00E94FA4"/>
    <w:rsid w:val="00E954AF"/>
    <w:rsid w:val="00E95B6B"/>
    <w:rsid w:val="00E95EB3"/>
    <w:rsid w:val="00E96802"/>
    <w:rsid w:val="00E969B5"/>
    <w:rsid w:val="00E96BD0"/>
    <w:rsid w:val="00E97320"/>
    <w:rsid w:val="00E973E1"/>
    <w:rsid w:val="00E97996"/>
    <w:rsid w:val="00E97EBE"/>
    <w:rsid w:val="00EA0282"/>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3C50"/>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1F73"/>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17CFF"/>
    <w:rsid w:val="00F17F6F"/>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0F25"/>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8AF"/>
    <w:rsid w:val="00F379B8"/>
    <w:rsid w:val="00F379EC"/>
    <w:rsid w:val="00F37D1E"/>
    <w:rsid w:val="00F40EFC"/>
    <w:rsid w:val="00F413D0"/>
    <w:rsid w:val="00F419A2"/>
    <w:rsid w:val="00F42464"/>
    <w:rsid w:val="00F425EF"/>
    <w:rsid w:val="00F42A67"/>
    <w:rsid w:val="00F42AD8"/>
    <w:rsid w:val="00F42CE6"/>
    <w:rsid w:val="00F42D64"/>
    <w:rsid w:val="00F42D93"/>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AF4"/>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893"/>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A3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6"/>
    <w:rsid w:val="00F9644D"/>
    <w:rsid w:val="00F968EE"/>
    <w:rsid w:val="00F96C52"/>
    <w:rsid w:val="00F97560"/>
    <w:rsid w:val="00FA020E"/>
    <w:rsid w:val="00FA0536"/>
    <w:rsid w:val="00FA0D46"/>
    <w:rsid w:val="00FA14A3"/>
    <w:rsid w:val="00FA1C7B"/>
    <w:rsid w:val="00FA1DF2"/>
    <w:rsid w:val="00FA1FA7"/>
    <w:rsid w:val="00FA25B4"/>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80D"/>
    <w:rsid w:val="00FB6D70"/>
    <w:rsid w:val="00FB75D9"/>
    <w:rsid w:val="00FC0199"/>
    <w:rsid w:val="00FC04A8"/>
    <w:rsid w:val="00FC0542"/>
    <w:rsid w:val="00FC091D"/>
    <w:rsid w:val="00FC0AD7"/>
    <w:rsid w:val="00FC1FEF"/>
    <w:rsid w:val="00FC2061"/>
    <w:rsid w:val="00FC2A6C"/>
    <w:rsid w:val="00FC2AD2"/>
    <w:rsid w:val="00FC2E40"/>
    <w:rsid w:val="00FC2E8F"/>
    <w:rsid w:val="00FC351C"/>
    <w:rsid w:val="00FC37E0"/>
    <w:rsid w:val="00FC3BFF"/>
    <w:rsid w:val="00FC4A71"/>
    <w:rsid w:val="00FC4DA3"/>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AE"/>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A61"/>
    <w:rsid w:val="00FF0CB1"/>
    <w:rsid w:val="00FF0F1D"/>
    <w:rsid w:val="00FF0F26"/>
    <w:rsid w:val="00FF1301"/>
    <w:rsid w:val="00FF1FC2"/>
    <w:rsid w:val="00FF2C67"/>
    <w:rsid w:val="00FF31E6"/>
    <w:rsid w:val="00FF4532"/>
    <w:rsid w:val="00FF4A91"/>
    <w:rsid w:val="00FF4FC7"/>
    <w:rsid w:val="00FF52DC"/>
    <w:rsid w:val="00FF564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6207012F-920C-4136-BC16-4BE911DB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34945"/>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character" w:customStyle="1" w:styleId="5Char">
    <w:name w:val="제목 5 Char"/>
    <w:basedOn w:val="a2"/>
    <w:link w:val="5"/>
    <w:semiHidden/>
    <w:rsid w:val="00B34945"/>
    <w:rPr>
      <w:rFonts w:asciiTheme="majorHAnsi" w:eastAsiaTheme="majorEastAsia" w:hAnsiTheme="majorHAnsi" w:cstheme="majorBidi"/>
      <w:lang w:val="en-GB" w:eastAsia="en-US"/>
    </w:rPr>
  </w:style>
  <w:style w:type="paragraph" w:customStyle="1" w:styleId="textintend3">
    <w:name w:val="text intend 3"/>
    <w:basedOn w:val="a1"/>
    <w:rsid w:val="00592A06"/>
    <w:pPr>
      <w:numPr>
        <w:numId w:val="7"/>
      </w:numPr>
      <w:overflowPunct w:val="0"/>
      <w:autoSpaceDE w:val="0"/>
      <w:autoSpaceDN w:val="0"/>
      <w:adjustRightInd w:val="0"/>
      <w:spacing w:before="0" w:after="120" w:line="240" w:lineRule="auto"/>
      <w:textAlignment w:val="baseline"/>
    </w:pPr>
    <w:rPr>
      <w:sz w:val="24"/>
      <w:lang w:val="en-US" w:eastAsia="en-GB"/>
    </w:rPr>
  </w:style>
  <w:style w:type="paragraph" w:styleId="af6">
    <w:name w:val="Normal (Web)"/>
    <w:basedOn w:val="a1"/>
    <w:uiPriority w:val="99"/>
    <w:rsid w:val="0053579B"/>
    <w:pPr>
      <w:spacing w:before="100" w:beforeAutospacing="1" w:after="100" w:afterAutospacing="1" w:line="240" w:lineRule="auto"/>
      <w:ind w:left="720" w:hanging="720"/>
      <w:jc w:val="left"/>
    </w:pPr>
    <w:rPr>
      <w:rFonts w:ascii="Arial" w:eastAsia="SimSun" w:hAnsi="Arial" w:cs="Arial"/>
      <w:color w:val="493118"/>
      <w:sz w:val="18"/>
      <w:szCs w:val="18"/>
      <w:lang w:val="en-US" w:eastAsia="zh-CN"/>
    </w:rPr>
  </w:style>
  <w:style w:type="paragraph" w:customStyle="1" w:styleId="maintext">
    <w:name w:val="main text"/>
    <w:basedOn w:val="a1"/>
    <w:link w:val="maintextChar"/>
    <w:qFormat/>
    <w:rsid w:val="0053579B"/>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53579B"/>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41599-3451-42F7-A461-C29C3F86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1628</Words>
  <Characters>9281</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김영태/책임연구원/차세대표준(연)ACS팀(youngtae99.kim@lge.com)</cp:lastModifiedBy>
  <cp:revision>2</cp:revision>
  <cp:lastPrinted>2016-05-13T07:55:00Z</cp:lastPrinted>
  <dcterms:created xsi:type="dcterms:W3CDTF">2018-05-11T14:30:00Z</dcterms:created>
  <dcterms:modified xsi:type="dcterms:W3CDTF">2018-05-11T14:30:00Z</dcterms:modified>
</cp:coreProperties>
</file>